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B6" w:rsidRPr="00642CAE" w:rsidRDefault="00AE0E83" w:rsidP="009D3B32">
      <w:pPr>
        <w:pStyle w:val="Nadpis1"/>
        <w:spacing w:line="240" w:lineRule="auto"/>
        <w:contextualSpacing/>
        <w:rPr>
          <w:color w:val="auto"/>
        </w:rPr>
      </w:pPr>
      <w:r w:rsidRPr="00642CAE">
        <w:rPr>
          <w:color w:val="auto"/>
        </w:rPr>
        <w:t>STANOVY</w:t>
      </w:r>
    </w:p>
    <w:p w:rsidR="00F55EB6" w:rsidRPr="00642CAE" w:rsidRDefault="00AE0E83" w:rsidP="009D3B32">
      <w:pPr>
        <w:spacing w:after="303" w:line="240" w:lineRule="auto"/>
        <w:ind w:left="0" w:right="240" w:firstLine="0"/>
        <w:contextualSpacing/>
        <w:jc w:val="center"/>
        <w:rPr>
          <w:color w:val="auto"/>
        </w:rPr>
      </w:pPr>
      <w:r w:rsidRPr="00642CAE">
        <w:rPr>
          <w:color w:val="auto"/>
          <w:sz w:val="34"/>
        </w:rPr>
        <w:t>dobrovolného svazku obcí Horažďovicko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l. Název a sídlo svazku</w:t>
      </w:r>
    </w:p>
    <w:p w:rsidR="0065608B" w:rsidRPr="00642CAE" w:rsidRDefault="0065608B" w:rsidP="009D3B32">
      <w:pPr>
        <w:spacing w:line="240" w:lineRule="auto"/>
        <w:contextualSpacing/>
        <w:rPr>
          <w:color w:val="auto"/>
        </w:rPr>
      </w:pPr>
    </w:p>
    <w:p w:rsidR="00F55EB6" w:rsidRPr="00642CAE" w:rsidRDefault="00AE0E83" w:rsidP="009D3B32">
      <w:pPr>
        <w:numPr>
          <w:ilvl w:val="0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Název: Horažďovicko (dále jen svazek)</w:t>
      </w:r>
    </w:p>
    <w:p w:rsidR="00F55EB6" w:rsidRPr="00642CAE" w:rsidRDefault="00AE0E83" w:rsidP="009D3B32">
      <w:pPr>
        <w:pStyle w:val="Odstavecseseznamem"/>
        <w:numPr>
          <w:ilvl w:val="0"/>
          <w:numId w:val="2"/>
        </w:numPr>
        <w:spacing w:after="7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Název se používá podle potřeby buď samostatně, nebo ve spojení s označením právního statutu:</w:t>
      </w:r>
    </w:p>
    <w:p w:rsidR="00F55EB6" w:rsidRPr="00642CAE" w:rsidRDefault="00AE0E83" w:rsidP="009D3B32">
      <w:pPr>
        <w:numPr>
          <w:ilvl w:val="1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Horažďovicko</w:t>
      </w:r>
    </w:p>
    <w:p w:rsidR="00F55EB6" w:rsidRPr="00642CAE" w:rsidRDefault="00AE0E83" w:rsidP="009D3B32">
      <w:pPr>
        <w:numPr>
          <w:ilvl w:val="1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Horažďovicko, dobrovolný svazek obcí</w:t>
      </w:r>
    </w:p>
    <w:p w:rsidR="00F55EB6" w:rsidRPr="00642CAE" w:rsidRDefault="00AE0E83" w:rsidP="009D3B32">
      <w:pPr>
        <w:numPr>
          <w:ilvl w:val="1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Horažďovicko, DSO</w:t>
      </w:r>
      <w:r w:rsidRPr="00642CAE">
        <w:rPr>
          <w:color w:val="auto"/>
          <w:szCs w:val="24"/>
        </w:rPr>
        <w:tab/>
      </w:r>
      <w:r w:rsidRPr="00642CAE">
        <w:rPr>
          <w:noProof/>
          <w:color w:val="auto"/>
          <w:szCs w:val="24"/>
        </w:rPr>
        <w:drawing>
          <wp:inline distT="0" distB="0" distL="0" distR="0">
            <wp:extent cx="18295" cy="18293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B6" w:rsidRPr="00642CAE" w:rsidRDefault="00AE0E83" w:rsidP="009D3B32">
      <w:pPr>
        <w:numPr>
          <w:ilvl w:val="1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dobrovolný svazek obcí Horažďovicko</w:t>
      </w:r>
    </w:p>
    <w:p w:rsidR="00F55EB6" w:rsidRPr="00642CAE" w:rsidRDefault="00AE0E83" w:rsidP="009D3B32">
      <w:pPr>
        <w:numPr>
          <w:ilvl w:val="1"/>
          <w:numId w:val="2"/>
        </w:numPr>
        <w:spacing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DSO Horažďovicko</w:t>
      </w:r>
    </w:p>
    <w:p w:rsidR="00F55EB6" w:rsidRPr="00642CAE" w:rsidRDefault="00AE0E83" w:rsidP="009D3B32">
      <w:pPr>
        <w:numPr>
          <w:ilvl w:val="0"/>
          <w:numId w:val="2"/>
        </w:numPr>
        <w:spacing w:after="29"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Právní statut: svazek obcí ve smyslu zákona č. 128/2000 Sb., o obcích</w:t>
      </w:r>
    </w:p>
    <w:p w:rsidR="00F55EB6" w:rsidRPr="00642CAE" w:rsidRDefault="00AE0E83" w:rsidP="009D3B32">
      <w:pPr>
        <w:numPr>
          <w:ilvl w:val="0"/>
          <w:numId w:val="2"/>
        </w:numPr>
        <w:spacing w:after="448" w:line="240" w:lineRule="auto"/>
        <w:ind w:right="14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Sídlo: Mírové náměstí 1, 341 01 Horažďovice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proofErr w:type="spellStart"/>
      <w:r w:rsidRPr="00642CAE">
        <w:rPr>
          <w:b/>
          <w:color w:val="auto"/>
          <w:sz w:val="28"/>
        </w:rPr>
        <w:t>Il</w:t>
      </w:r>
      <w:proofErr w:type="spellEnd"/>
      <w:r w:rsidRPr="00642CAE">
        <w:rPr>
          <w:b/>
          <w:color w:val="auto"/>
          <w:sz w:val="28"/>
        </w:rPr>
        <w:t>. Členské obce svazku</w:t>
      </w:r>
    </w:p>
    <w:p w:rsidR="00F55EB6" w:rsidRPr="00642CAE" w:rsidRDefault="00AE0E83" w:rsidP="009D3B32">
      <w:pPr>
        <w:pStyle w:val="Odstavecseseznamem"/>
        <w:numPr>
          <w:ilvl w:val="0"/>
          <w:numId w:val="3"/>
        </w:numPr>
        <w:spacing w:after="463" w:line="240" w:lineRule="auto"/>
        <w:ind w:right="322"/>
        <w:rPr>
          <w:color w:val="auto"/>
        </w:rPr>
      </w:pPr>
      <w:r w:rsidRPr="00642CAE">
        <w:rPr>
          <w:color w:val="auto"/>
        </w:rPr>
        <w:t>Členskými obcemi svazku mohou být obce v územní působnosti ORP Horažďovice. Zakládajícími členskými obcemi jsou Město Horažďovic</w:t>
      </w:r>
      <w:r w:rsidR="0065608B" w:rsidRPr="00642CAE">
        <w:rPr>
          <w:color w:val="auto"/>
        </w:rPr>
        <w:t>e se sídlem Mírové nám. 1, 341 01</w:t>
      </w:r>
      <w:r w:rsidRPr="00642CAE">
        <w:rPr>
          <w:color w:val="auto"/>
        </w:rPr>
        <w:t xml:space="preserve"> Horažďovice a Obec Chanovice se sídlem Chanovice 36, 341 01 Horažďovice, které svoji svobodnou vůli založit svazek projevily podpisem Smlouvy o vytvoření dobrovolného svazku obcí Horažďovicko.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proofErr w:type="spellStart"/>
      <w:r w:rsidRPr="00642CAE">
        <w:rPr>
          <w:b/>
          <w:color w:val="auto"/>
          <w:sz w:val="28"/>
        </w:rPr>
        <w:t>Ill</w:t>
      </w:r>
      <w:proofErr w:type="spellEnd"/>
      <w:r w:rsidRPr="00642CAE">
        <w:rPr>
          <w:b/>
          <w:color w:val="auto"/>
          <w:sz w:val="28"/>
        </w:rPr>
        <w:t>. Cíl svazku</w:t>
      </w:r>
    </w:p>
    <w:p w:rsidR="00302523" w:rsidRPr="00642CAE" w:rsidRDefault="00302523" w:rsidP="009D3B32">
      <w:pPr>
        <w:pStyle w:val="Odstavecseseznamem"/>
        <w:numPr>
          <w:ilvl w:val="0"/>
          <w:numId w:val="4"/>
        </w:numPr>
        <w:spacing w:after="463" w:line="240" w:lineRule="auto"/>
        <w:ind w:right="322"/>
        <w:rPr>
          <w:color w:val="auto"/>
        </w:rPr>
      </w:pPr>
      <w:r w:rsidRPr="00642CAE">
        <w:rPr>
          <w:color w:val="auto"/>
        </w:rPr>
        <w:t>Svazek je založen za účelem ochrany a prosazování společných zájmů členských obcí, kterými jsou především péče o všestranný rozvoj zájmového území, péče o potřeby občanů členských obcí a ochrana veřejného zájmu.</w:t>
      </w:r>
    </w:p>
    <w:p w:rsidR="00302523" w:rsidRPr="00642CAE" w:rsidRDefault="00302523" w:rsidP="009D3B32">
      <w:pPr>
        <w:pStyle w:val="Odstavecseseznamem"/>
        <w:numPr>
          <w:ilvl w:val="0"/>
          <w:numId w:val="4"/>
        </w:numPr>
        <w:spacing w:after="463" w:line="240" w:lineRule="auto"/>
        <w:ind w:right="322"/>
        <w:rPr>
          <w:color w:val="auto"/>
        </w:rPr>
      </w:pPr>
      <w:r w:rsidRPr="00642CAE">
        <w:rPr>
          <w:color w:val="auto"/>
        </w:rPr>
        <w:t>Svazek vyvíjí svou činnost především v rámci regionu, jež je tvořen geografickou oblastí (dále jen "zájmové území") vymezenou katastrálním územím členských obcí.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IV. Předmět činnosti svazku</w:t>
      </w:r>
    </w:p>
    <w:p w:rsidR="00140FF0" w:rsidRPr="00642CAE" w:rsidRDefault="00140FF0" w:rsidP="009D3B32">
      <w:pPr>
        <w:numPr>
          <w:ilvl w:val="0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Hlavní činnost svazku je zaměřena zejména na výkon činností směřujících k systematickému a efektivnímu rozvoji zájmového území, ochranu a prosazování společných zájmů členských obcí a jejich spolupráci při rozvíjení činností týkajících se: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propagace svazku a jeho zájmového území,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koordinace významných investičních akcí v zájmovém území,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oblasti školství a sociální péče,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odpadového hospodářství,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požární ochrany,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ochrany životního prostředí,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 xml:space="preserve">rozvoje cestovního ruchu, </w:t>
      </w:r>
      <w:proofErr w:type="spellStart"/>
      <w:r w:rsidRPr="00642CAE">
        <w:rPr>
          <w:color w:val="auto"/>
        </w:rPr>
        <w:t>krajinotvorby</w:t>
      </w:r>
      <w:proofErr w:type="spellEnd"/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lastRenderedPageBreak/>
        <w:t>podpory podnikaní,</w:t>
      </w:r>
    </w:p>
    <w:p w:rsidR="00140FF0" w:rsidRPr="00642CAE" w:rsidRDefault="00140FF0" w:rsidP="009D3B32">
      <w:pPr>
        <w:numPr>
          <w:ilvl w:val="1"/>
          <w:numId w:val="5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vytváření, zmnožování a správy majetku svazku,</w:t>
      </w:r>
    </w:p>
    <w:p w:rsidR="00140FF0" w:rsidRPr="00642CAE" w:rsidRDefault="00140FF0" w:rsidP="009D3B32">
      <w:pPr>
        <w:numPr>
          <w:ilvl w:val="1"/>
          <w:numId w:val="5"/>
        </w:numPr>
        <w:spacing w:after="173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zastupování členů svazku při jednáních o společných věcech s třetími osobami.</w:t>
      </w:r>
    </w:p>
    <w:p w:rsidR="00140FF0" w:rsidRPr="00642CAE" w:rsidRDefault="00140FF0" w:rsidP="009D3B32">
      <w:pPr>
        <w:numPr>
          <w:ilvl w:val="0"/>
          <w:numId w:val="5"/>
        </w:numPr>
        <w:spacing w:after="93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Svazek může vyvíjet i aktivity, které se z objektivních důvodů netýkají všech členů svazku; povinnost svazku, aby i tyto aktivity byly v souladu s účelem svazku, tím zůstává nedotčena.</w:t>
      </w:r>
    </w:p>
    <w:p w:rsidR="00140FF0" w:rsidRPr="00642CAE" w:rsidRDefault="00140FF0" w:rsidP="009D3B32">
      <w:pPr>
        <w:numPr>
          <w:ilvl w:val="0"/>
          <w:numId w:val="5"/>
        </w:numPr>
        <w:spacing w:after="496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Svazek může vedle své hlavní činnosti vyvíjet též vedlejší hospodářskou činnost spočívající v podnikání nebo jiné výdělečné činnosti; to však pouze za podmínky, že jejím účelem je podpora hlavní činnosti svazku anebo hospodárné využívání majetku svazku.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V. Orgány svazku</w:t>
      </w:r>
    </w:p>
    <w:p w:rsidR="00F55EB6" w:rsidRPr="00642CAE" w:rsidRDefault="00F00E5B" w:rsidP="009D3B32">
      <w:pPr>
        <w:numPr>
          <w:ilvl w:val="0"/>
          <w:numId w:val="6"/>
        </w:numPr>
        <w:spacing w:after="3" w:line="240" w:lineRule="auto"/>
        <w:ind w:right="331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Orgány svazku jsou</w:t>
      </w:r>
      <w:r w:rsidR="00AE0E83" w:rsidRPr="00642CAE">
        <w:rPr>
          <w:color w:val="auto"/>
          <w:szCs w:val="24"/>
        </w:rPr>
        <w:t>: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Valná hromada (dále jen VH) (povinný orgán, vzniká delegací člena do VH členskou obcí)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Rada svazku (povinný orgán volený VH)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Předseda (povinný orgán volený VH)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Místopředseda (povinný orgán volený VH)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Kontrolní komise (povinný orgán zřizovaný VH)</w:t>
      </w:r>
    </w:p>
    <w:p w:rsidR="00F55EB6" w:rsidRPr="00642CAE" w:rsidRDefault="00AE0E83" w:rsidP="009D3B32">
      <w:pPr>
        <w:numPr>
          <w:ilvl w:val="3"/>
          <w:numId w:val="6"/>
        </w:numPr>
        <w:spacing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Orgán pro schválení účetní uzávěrky (povinný orgán zřizovaný VH)</w:t>
      </w:r>
    </w:p>
    <w:p w:rsidR="00DD4590" w:rsidRPr="00642CAE" w:rsidRDefault="00DD4590" w:rsidP="009D3B32">
      <w:pPr>
        <w:spacing w:line="240" w:lineRule="auto"/>
        <w:ind w:left="1134" w:right="14" w:firstLine="0"/>
        <w:contextualSpacing/>
        <w:rPr>
          <w:color w:val="auto"/>
          <w:szCs w:val="24"/>
        </w:rPr>
      </w:pPr>
    </w:p>
    <w:p w:rsidR="00F55EB6" w:rsidRPr="00642CAE" w:rsidRDefault="00AE0E83" w:rsidP="009D3B32">
      <w:pPr>
        <w:numPr>
          <w:ilvl w:val="0"/>
          <w:numId w:val="6"/>
        </w:numPr>
        <w:spacing w:line="240" w:lineRule="auto"/>
        <w:ind w:right="331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Mandát orgánů svazku</w:t>
      </w:r>
    </w:p>
    <w:p w:rsidR="00F55EB6" w:rsidRPr="00642CAE" w:rsidRDefault="00AE0E83" w:rsidP="009D3B32">
      <w:pPr>
        <w:pStyle w:val="Odstavecseseznamem"/>
        <w:numPr>
          <w:ilvl w:val="0"/>
          <w:numId w:val="16"/>
        </w:numPr>
        <w:spacing w:after="112" w:line="240" w:lineRule="auto"/>
        <w:ind w:left="1134" w:right="14" w:hanging="425"/>
        <w:rPr>
          <w:color w:val="auto"/>
          <w:szCs w:val="24"/>
        </w:rPr>
      </w:pPr>
      <w:r w:rsidRPr="00642CAE">
        <w:rPr>
          <w:color w:val="auto"/>
          <w:szCs w:val="24"/>
        </w:rPr>
        <w:t>Mandát orgánů svazku trvá ode dne jejich ustavení do dne vyhlášení výsledků příštích řádných komunálních voleb.</w:t>
      </w:r>
    </w:p>
    <w:p w:rsidR="002F2A58" w:rsidRPr="00642CAE" w:rsidRDefault="002F2A58" w:rsidP="009D3B32">
      <w:pPr>
        <w:pStyle w:val="Odstavecseseznamem"/>
        <w:spacing w:after="112" w:line="240" w:lineRule="auto"/>
        <w:ind w:left="1134" w:right="14" w:hanging="425"/>
        <w:rPr>
          <w:color w:val="auto"/>
          <w:szCs w:val="24"/>
        </w:rPr>
      </w:pPr>
    </w:p>
    <w:p w:rsidR="00F55EB6" w:rsidRPr="00642CAE" w:rsidRDefault="00AE0E83" w:rsidP="009D3B32">
      <w:pPr>
        <w:pStyle w:val="Odstavecseseznamem"/>
        <w:numPr>
          <w:ilvl w:val="0"/>
          <w:numId w:val="16"/>
        </w:numPr>
        <w:spacing w:after="0" w:line="240" w:lineRule="auto"/>
        <w:ind w:left="1134" w:right="14" w:hanging="425"/>
        <w:rPr>
          <w:color w:val="auto"/>
          <w:szCs w:val="24"/>
        </w:rPr>
      </w:pPr>
      <w:r w:rsidRPr="00642CAE">
        <w:rPr>
          <w:color w:val="auto"/>
          <w:szCs w:val="24"/>
        </w:rPr>
        <w:t>V období mezi dnem vyhlášení výsledků řádných komunálních voleb a dnem ustanovení nových orgánů svazku svazek</w:t>
      </w:r>
      <w:r w:rsidR="00C419C2" w:rsidRPr="00642CAE">
        <w:rPr>
          <w:color w:val="auto"/>
          <w:szCs w:val="24"/>
        </w:rPr>
        <w:t xml:space="preserve"> řídí a jednají za něj společně</w:t>
      </w:r>
      <w:r w:rsidR="000358C1" w:rsidRPr="00642CAE">
        <w:rPr>
          <w:color w:val="auto"/>
          <w:szCs w:val="24"/>
        </w:rPr>
        <w:t xml:space="preserve"> předseda a místopředseda</w:t>
      </w:r>
      <w:r w:rsidR="002F2A58" w:rsidRPr="00642CAE">
        <w:rPr>
          <w:color w:val="auto"/>
          <w:szCs w:val="24"/>
        </w:rPr>
        <w:t>.</w:t>
      </w:r>
    </w:p>
    <w:p w:rsidR="00AF5D27" w:rsidRPr="00642CAE" w:rsidRDefault="00AF5D27" w:rsidP="009D3B32">
      <w:pPr>
        <w:spacing w:after="0" w:line="240" w:lineRule="auto"/>
        <w:ind w:left="397" w:right="14" w:firstLine="0"/>
        <w:contextualSpacing/>
        <w:rPr>
          <w:color w:val="auto"/>
          <w:szCs w:val="24"/>
        </w:rPr>
      </w:pPr>
    </w:p>
    <w:p w:rsidR="00F55EB6" w:rsidRPr="00642CAE" w:rsidRDefault="000358C1" w:rsidP="009D3B32">
      <w:pPr>
        <w:pStyle w:val="Odstavecseseznamem"/>
        <w:numPr>
          <w:ilvl w:val="0"/>
          <w:numId w:val="6"/>
        </w:numPr>
        <w:spacing w:after="89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P</w:t>
      </w:r>
      <w:r w:rsidR="00AE0E83" w:rsidRPr="00642CAE">
        <w:rPr>
          <w:color w:val="auto"/>
          <w:szCs w:val="24"/>
        </w:rPr>
        <w:t>ředseda svolá jednání Valné hromady do šedesáti dnů ode dne vyhlášení výsledků řádných komunálních voleb. Neučiní-li tak, může Valnou hromadu svolat starosta kterékoliv členské obce.</w:t>
      </w:r>
    </w:p>
    <w:p w:rsidR="00DD4590" w:rsidRPr="00642CAE" w:rsidRDefault="00DD4590" w:rsidP="009D3B32">
      <w:pPr>
        <w:pStyle w:val="Odstavecseseznamem"/>
        <w:spacing w:after="89" w:line="240" w:lineRule="auto"/>
        <w:ind w:right="14" w:firstLine="0"/>
        <w:rPr>
          <w:color w:val="auto"/>
          <w:szCs w:val="24"/>
        </w:rPr>
      </w:pPr>
    </w:p>
    <w:p w:rsidR="00F55EB6" w:rsidRPr="00642CAE" w:rsidRDefault="00AE0E83" w:rsidP="009D3B32">
      <w:pPr>
        <w:pStyle w:val="Odstavecseseznamem"/>
        <w:numPr>
          <w:ilvl w:val="0"/>
          <w:numId w:val="6"/>
        </w:numPr>
        <w:spacing w:after="191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Každý orgán svazku je odvolatelný tím, kdo jej zvolil nebo jmenoval.</w:t>
      </w:r>
    </w:p>
    <w:p w:rsidR="002F2A58" w:rsidRPr="00642CAE" w:rsidRDefault="002F2A58" w:rsidP="009D3B32">
      <w:pPr>
        <w:pStyle w:val="Odstavecseseznamem"/>
        <w:spacing w:after="191" w:line="240" w:lineRule="auto"/>
        <w:ind w:right="14" w:firstLine="0"/>
        <w:rPr>
          <w:color w:val="auto"/>
          <w:szCs w:val="24"/>
        </w:rPr>
      </w:pPr>
    </w:p>
    <w:p w:rsidR="00F55EB6" w:rsidRPr="00642CAE" w:rsidRDefault="00AE0E83" w:rsidP="009D3B32">
      <w:pPr>
        <w:pStyle w:val="Odstavecseseznamem"/>
        <w:numPr>
          <w:ilvl w:val="0"/>
          <w:numId w:val="6"/>
        </w:numPr>
        <w:spacing w:after="3" w:line="240" w:lineRule="auto"/>
        <w:ind w:right="331"/>
        <w:rPr>
          <w:color w:val="auto"/>
          <w:szCs w:val="24"/>
        </w:rPr>
      </w:pPr>
      <w:r w:rsidRPr="00642CAE">
        <w:rPr>
          <w:color w:val="auto"/>
          <w:szCs w:val="24"/>
        </w:rPr>
        <w:t>Valná hromada (dále jen VH)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4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Valná hromada je nejvyšším orgánem svazku. Právo účastnit se valné hromady a rozhodovat o záležitostech spadajících do její působnosti mají všechny členské obce svazku.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46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Na zasedáních valnou hromadu zastupuje členskou obec starosta, místostarosta nebo člen zastupitelstva členské obce. Každý člen má na zasedáních valné hromady jednoho zástupce.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15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Do působnosti </w:t>
      </w:r>
      <w:r w:rsidR="000358C1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 xml:space="preserve"> patří zejména: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schvalování stanov svazku a jejich změn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39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schvalování rozpočtu, plánu činností na každý kalendářní rok, závěrečného účtu a účetní závěrky svazku,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 oblasti školství rozhodování o zřízení příspěvkových organizací a školských právnických osob, které vykonávají činnost školy nebo školského zařízení; schvalování jejich zřizovací listiny,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lastRenderedPageBreak/>
        <w:t>rozhodování o zřízení peněžních fondů a stanovení pravidel jejich čerpání,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rozdělení zisku a úhradě ztráty svazku,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volba předsedy, místopředsedy a dalších členů orgánů svazku a jejich odvolání z funkce,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zřizování a rušení komisí jako poradních orgánů, volba předsedů a dalších členů jednotlivých komisí a jejich odvolávání z funkce,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stanovení výše a způsobu vyplácení odměn voleným členům orgánů svazku,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založení nebo rušení právnických osob,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účasti svazku v již založených právnických osobách,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delegování zástupců svazu do orgánů založených právnických osob, případně do orgánů právnických osob, kterých se svazek účastní,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přijetí a vyloučení členů svazku,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rozhodování o sloučení, splynutí, rozdělení nebo zrušení svazku,</w:t>
      </w:r>
    </w:p>
    <w:p w:rsidR="000E099E" w:rsidRPr="00C11107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>rozhodování o výši a termínu splatnosti členských příspěvků,</w:t>
      </w:r>
    </w:p>
    <w:p w:rsidR="000E099E" w:rsidRPr="00C11107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 xml:space="preserve">schvalování právních jednání svazku, jejichž předmětem je </w:t>
      </w:r>
      <w:r w:rsidR="00B4270F" w:rsidRPr="00C11107">
        <w:rPr>
          <w:color w:val="auto"/>
          <w:szCs w:val="24"/>
        </w:rPr>
        <w:t>hodnota převyšující 5</w:t>
      </w:r>
      <w:r w:rsidRPr="00C11107">
        <w:rPr>
          <w:color w:val="auto"/>
          <w:szCs w:val="24"/>
        </w:rPr>
        <w:t>0.000 Kč, s výjimkou jednání pracovněprávních,</w:t>
      </w:r>
    </w:p>
    <w:p w:rsidR="000E099E" w:rsidRPr="00C11107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>rozhodování o nabytí a převodu nemovitostí,</w:t>
      </w:r>
    </w:p>
    <w:p w:rsidR="000E099E" w:rsidRPr="00C11107" w:rsidRDefault="000E099E" w:rsidP="009D3B32">
      <w:pPr>
        <w:numPr>
          <w:ilvl w:val="1"/>
          <w:numId w:val="8"/>
        </w:numPr>
        <w:spacing w:before="240" w:after="15" w:line="240" w:lineRule="auto"/>
        <w:ind w:left="1134" w:right="14" w:firstLine="0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>rozhodování o uložení úkolů jednotlivým orgánům svazku,</w:t>
      </w:r>
    </w:p>
    <w:p w:rsidR="000E099E" w:rsidRPr="00642CAE" w:rsidRDefault="000E099E" w:rsidP="009D3B32">
      <w:pPr>
        <w:numPr>
          <w:ilvl w:val="1"/>
          <w:numId w:val="8"/>
        </w:numPr>
        <w:spacing w:before="240" w:after="254" w:line="240" w:lineRule="auto"/>
        <w:ind w:left="1134" w:right="14" w:firstLine="0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 xml:space="preserve">rozhodování o dalších </w:t>
      </w:r>
      <w:r w:rsidRPr="00642CAE">
        <w:rPr>
          <w:color w:val="auto"/>
          <w:szCs w:val="24"/>
        </w:rPr>
        <w:t>záležitostech svazku, které si valná hromada vyhradí.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43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Valná hromada se schází podle potřeby, nejméně však 2x za rok. Zasedání </w:t>
      </w:r>
      <w:r w:rsidR="00E2609E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 xml:space="preserve"> svolává a zpravidla řídí předseda. Pozvánka na zasedání </w:t>
      </w:r>
      <w:r w:rsidR="00E2609E" w:rsidRPr="00642CAE">
        <w:rPr>
          <w:color w:val="auto"/>
          <w:szCs w:val="24"/>
        </w:rPr>
        <w:t>valnou hromadu</w:t>
      </w:r>
      <w:r w:rsidRPr="00642CAE">
        <w:rPr>
          <w:color w:val="auto"/>
          <w:szCs w:val="24"/>
        </w:rPr>
        <w:t xml:space="preserve"> spolu s programem, termínem a místem konání musí být v elektronické podobě roze</w:t>
      </w:r>
      <w:r w:rsidR="0047116F" w:rsidRPr="00642CAE">
        <w:rPr>
          <w:color w:val="auto"/>
          <w:szCs w:val="24"/>
        </w:rPr>
        <w:t>slána členům svazku minimálně 14</w:t>
      </w:r>
      <w:r w:rsidR="00E2609E" w:rsidRPr="00642CAE">
        <w:rPr>
          <w:color w:val="auto"/>
          <w:szCs w:val="24"/>
        </w:rPr>
        <w:t xml:space="preserve"> dnů</w:t>
      </w:r>
      <w:r w:rsidRPr="00642CAE">
        <w:rPr>
          <w:color w:val="auto"/>
          <w:szCs w:val="24"/>
        </w:rPr>
        <w:t xml:space="preserve"> před konáním zasedání. Nejpozději ve stejné lhůtě předseda zveřejní pozvánku na zasedání </w:t>
      </w:r>
      <w:r w:rsidR="00E2609E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 xml:space="preserve"> na internetových stránkách svazku.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41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Předseda je povinen svolat zasedání </w:t>
      </w:r>
      <w:r w:rsidR="00E2609E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>, požádá-li o to alespoň jedna třetina čl</w:t>
      </w:r>
      <w:r w:rsidR="00E2609E" w:rsidRPr="00642CAE">
        <w:rPr>
          <w:color w:val="auto"/>
          <w:szCs w:val="24"/>
        </w:rPr>
        <w:t>enů svazku a to do 30</w:t>
      </w:r>
      <w:r w:rsidRPr="00642CAE">
        <w:rPr>
          <w:color w:val="auto"/>
          <w:szCs w:val="24"/>
        </w:rPr>
        <w:t xml:space="preserve"> dnů ode dne, kdy mu byla taková žádost doručena. Nesvolá-li předseda zasedání valná hromada v této lhůtě, učiní tak do 7 dnů místopředseda, popřípadě jiný člen </w:t>
      </w:r>
      <w:r w:rsidR="00E2609E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>, a to na náklady svazku.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62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Zasedání valná hromada svazku je veřejné. Obce, členové svazku informují veřejnost o místě, době a navrženém programu připravovaného zasedání valná hromada způsobem v místě obvyklým, nejméně však 7 dní před zasedáním valná hromada.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60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Návrh programu jednání </w:t>
      </w:r>
      <w:r w:rsidR="00A83439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 xml:space="preserve"> zpracovává a </w:t>
      </w:r>
      <w:r w:rsidR="00A83439" w:rsidRPr="00642CAE">
        <w:rPr>
          <w:color w:val="auto"/>
          <w:szCs w:val="24"/>
        </w:rPr>
        <w:t>valné</w:t>
      </w:r>
      <w:r w:rsidRPr="00642CAE">
        <w:rPr>
          <w:color w:val="auto"/>
          <w:szCs w:val="24"/>
        </w:rPr>
        <w:t xml:space="preserve"> hromad</w:t>
      </w:r>
      <w:r w:rsidR="00A83439" w:rsidRPr="00642CAE">
        <w:rPr>
          <w:color w:val="auto"/>
          <w:szCs w:val="24"/>
        </w:rPr>
        <w:t>ě</w:t>
      </w:r>
      <w:r w:rsidRPr="00642CAE">
        <w:rPr>
          <w:color w:val="auto"/>
          <w:szCs w:val="24"/>
        </w:rPr>
        <w:t xml:space="preserve"> předkládá předseda svazku.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31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Právo předkládat návrhy k zařazení na pořad jednání připravovaného zasedání </w:t>
      </w:r>
      <w:r w:rsidR="00A83439" w:rsidRPr="00642CAE">
        <w:rPr>
          <w:color w:val="auto"/>
          <w:szCs w:val="24"/>
        </w:rPr>
        <w:t>valné hromadě</w:t>
      </w:r>
      <w:r w:rsidRPr="00642CAE">
        <w:rPr>
          <w:color w:val="auto"/>
          <w:szCs w:val="24"/>
        </w:rPr>
        <w:t xml:space="preserve"> mají jednotliví členové a orgány svazku.</w:t>
      </w:r>
    </w:p>
    <w:p w:rsidR="006B1637" w:rsidRPr="00642CAE" w:rsidRDefault="000E099E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Valná hromada</w:t>
      </w:r>
      <w:r w:rsidR="00A83439" w:rsidRPr="00642CAE">
        <w:rPr>
          <w:color w:val="auto"/>
          <w:szCs w:val="24"/>
        </w:rPr>
        <w:t xml:space="preserve"> je schopna</w:t>
      </w:r>
      <w:r w:rsidRPr="00642CAE">
        <w:rPr>
          <w:color w:val="auto"/>
          <w:szCs w:val="24"/>
        </w:rPr>
        <w:t xml:space="preserve"> se usnášet, je-li přítomna nadpoloviční většina všech členů svazku.</w:t>
      </w:r>
      <w:r w:rsidR="001928C5" w:rsidRPr="00642CAE">
        <w:rPr>
          <w:color w:val="auto"/>
          <w:szCs w:val="24"/>
        </w:rPr>
        <w:t xml:space="preserve"> </w:t>
      </w:r>
    </w:p>
    <w:p w:rsidR="001928C5" w:rsidRPr="00C11107" w:rsidRDefault="000E099E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t xml:space="preserve">K platnému usnesení </w:t>
      </w:r>
      <w:r w:rsidR="00B924FD" w:rsidRPr="00C11107">
        <w:rPr>
          <w:color w:val="auto"/>
          <w:szCs w:val="24"/>
        </w:rPr>
        <w:t>valné hromady</w:t>
      </w:r>
      <w:r w:rsidRPr="00C11107">
        <w:rPr>
          <w:color w:val="auto"/>
          <w:szCs w:val="24"/>
        </w:rPr>
        <w:t xml:space="preserve"> je třeba souhlasu </w:t>
      </w:r>
      <w:bookmarkStart w:id="0" w:name="_Hlk491687935"/>
      <w:r w:rsidRPr="00C11107">
        <w:rPr>
          <w:color w:val="auto"/>
          <w:szCs w:val="24"/>
        </w:rPr>
        <w:t>nadpoloviční většiny přítomných členů svazku.</w:t>
      </w:r>
      <w:r w:rsidR="00315D76" w:rsidRPr="00C11107">
        <w:rPr>
          <w:color w:val="auto"/>
          <w:szCs w:val="24"/>
        </w:rPr>
        <w:t xml:space="preserve"> </w:t>
      </w:r>
      <w:bookmarkEnd w:id="0"/>
      <w:r w:rsidR="00315D76" w:rsidRPr="00C11107">
        <w:rPr>
          <w:color w:val="auto"/>
          <w:szCs w:val="24"/>
        </w:rPr>
        <w:t xml:space="preserve">K rozhodnutí o jiném poměru podílu obcí na zisku svazku nebo </w:t>
      </w:r>
      <w:r w:rsidR="009D3B32" w:rsidRPr="00C11107">
        <w:rPr>
          <w:color w:val="auto"/>
          <w:szCs w:val="24"/>
        </w:rPr>
        <w:t xml:space="preserve">o </w:t>
      </w:r>
      <w:r w:rsidR="00315D76" w:rsidRPr="00C11107">
        <w:rPr>
          <w:color w:val="auto"/>
          <w:szCs w:val="24"/>
        </w:rPr>
        <w:t xml:space="preserve">jiném podílu obcí na ztrátě svazku, než jak je </w:t>
      </w:r>
      <w:r w:rsidR="00C35E36" w:rsidRPr="00C11107">
        <w:rPr>
          <w:color w:val="auto"/>
          <w:szCs w:val="24"/>
        </w:rPr>
        <w:t>upraveno</w:t>
      </w:r>
      <w:r w:rsidR="00315D76" w:rsidRPr="00C11107">
        <w:rPr>
          <w:color w:val="auto"/>
          <w:szCs w:val="24"/>
        </w:rPr>
        <w:t xml:space="preserve"> v těchto stanovách, musí být přijato</w:t>
      </w:r>
      <w:r w:rsidR="00C11107" w:rsidRPr="00C11107">
        <w:rPr>
          <w:color w:val="auto"/>
          <w:szCs w:val="24"/>
        </w:rPr>
        <w:t xml:space="preserve"> usnesení </w:t>
      </w:r>
      <w:r w:rsidR="00C11107">
        <w:rPr>
          <w:color w:val="auto"/>
          <w:szCs w:val="24"/>
        </w:rPr>
        <w:t xml:space="preserve">valné hromady </w:t>
      </w:r>
      <w:r w:rsidR="00DA17D3" w:rsidRPr="00C11107">
        <w:rPr>
          <w:color w:val="auto"/>
          <w:szCs w:val="24"/>
        </w:rPr>
        <w:t xml:space="preserve">nadpoloviční většinou přítomných členů svazku. </w:t>
      </w:r>
      <w:r w:rsidR="00315D76" w:rsidRPr="00C11107">
        <w:rPr>
          <w:color w:val="auto"/>
          <w:szCs w:val="24"/>
        </w:rPr>
        <w:t xml:space="preserve"> 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Není-li valná hromada</w:t>
      </w:r>
      <w:r w:rsidR="003B0873" w:rsidRPr="00642CAE">
        <w:rPr>
          <w:color w:val="auto"/>
          <w:szCs w:val="24"/>
        </w:rPr>
        <w:t xml:space="preserve"> usnášeníschopná</w:t>
      </w:r>
      <w:r w:rsidRPr="00642CAE">
        <w:rPr>
          <w:color w:val="auto"/>
          <w:szCs w:val="24"/>
        </w:rPr>
        <w:t xml:space="preserve">, ukončí předseda </w:t>
      </w:r>
      <w:r w:rsidR="001928C5" w:rsidRPr="00642CAE">
        <w:rPr>
          <w:color w:val="auto"/>
          <w:szCs w:val="24"/>
        </w:rPr>
        <w:t>p</w:t>
      </w:r>
      <w:r w:rsidR="00B95147" w:rsidRPr="00642CAE">
        <w:rPr>
          <w:color w:val="auto"/>
          <w:szCs w:val="24"/>
        </w:rPr>
        <w:t>o 15 minut</w:t>
      </w:r>
      <w:r w:rsidR="001928C5" w:rsidRPr="00642CAE">
        <w:rPr>
          <w:color w:val="auto"/>
          <w:szCs w:val="24"/>
        </w:rPr>
        <w:t>ách</w:t>
      </w:r>
      <w:r w:rsidR="00B95147" w:rsidRPr="00642CAE">
        <w:rPr>
          <w:color w:val="auto"/>
          <w:szCs w:val="24"/>
        </w:rPr>
        <w:t xml:space="preserve"> </w:t>
      </w:r>
      <w:r w:rsidRPr="00642CAE">
        <w:rPr>
          <w:color w:val="auto"/>
          <w:szCs w:val="24"/>
        </w:rPr>
        <w:t xml:space="preserve">zasedání </w:t>
      </w:r>
      <w:r w:rsidR="003B0873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 xml:space="preserve"> a pořídí</w:t>
      </w:r>
      <w:r w:rsidR="000C1D0C" w:rsidRPr="00642CAE">
        <w:rPr>
          <w:color w:val="auto"/>
          <w:szCs w:val="24"/>
        </w:rPr>
        <w:t xml:space="preserve"> o tom zápis. P</w:t>
      </w:r>
      <w:r w:rsidR="007F4B96" w:rsidRPr="00642CAE">
        <w:rPr>
          <w:color w:val="auto"/>
          <w:szCs w:val="24"/>
        </w:rPr>
        <w:t>o dalších 15 mi</w:t>
      </w:r>
      <w:r w:rsidR="001928C5" w:rsidRPr="00642CAE">
        <w:rPr>
          <w:color w:val="auto"/>
          <w:szCs w:val="24"/>
        </w:rPr>
        <w:t xml:space="preserve">nutách se bude konat náhradní valná hromada. </w:t>
      </w:r>
      <w:r w:rsidRPr="00642CAE">
        <w:rPr>
          <w:color w:val="auto"/>
          <w:szCs w:val="24"/>
        </w:rPr>
        <w:t>Náhradní valná hromada</w:t>
      </w:r>
      <w:r w:rsidR="001928C5" w:rsidRPr="00642CAE">
        <w:rPr>
          <w:color w:val="auto"/>
          <w:szCs w:val="24"/>
        </w:rPr>
        <w:t xml:space="preserve"> je usnášeníschopná</w:t>
      </w:r>
      <w:r w:rsidRPr="00642CAE">
        <w:rPr>
          <w:color w:val="auto"/>
          <w:szCs w:val="24"/>
        </w:rPr>
        <w:t xml:space="preserve"> bez ohledu na počet přítomných </w:t>
      </w:r>
      <w:r w:rsidRPr="00C11107">
        <w:rPr>
          <w:color w:val="auto"/>
          <w:szCs w:val="24"/>
        </w:rPr>
        <w:t xml:space="preserve">členů svazku. K přijetí usnesení náhradním shromážděním starostů postačuje souhlas </w:t>
      </w:r>
      <w:r w:rsidRPr="00C11107">
        <w:rPr>
          <w:color w:val="auto"/>
          <w:szCs w:val="24"/>
        </w:rPr>
        <w:lastRenderedPageBreak/>
        <w:t xml:space="preserve">nadpoloviční většiny přítomných členů svazku. </w:t>
      </w:r>
      <w:r w:rsidR="00B4270F" w:rsidRPr="00C11107">
        <w:rPr>
          <w:color w:val="auto"/>
          <w:szCs w:val="24"/>
        </w:rPr>
        <w:t>Na zasedání náhradní valné hromady</w:t>
      </w:r>
      <w:r w:rsidRPr="00C11107">
        <w:rPr>
          <w:color w:val="auto"/>
          <w:szCs w:val="24"/>
        </w:rPr>
        <w:t xml:space="preserve"> nemůže být zařazen nový bod programu.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18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O průběhu zasedání valná hromada se pořizuje zápis, který podepisuje předseda nebo místopředseda a určení ověřovatelé. Ověřovatelé zápisu jsou voleni vždy na začátku zasedání </w:t>
      </w:r>
      <w:r w:rsidR="001928C5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>, přičemž návrh na ověřovatele předkládá předseda. V zápise se vždy uvede počet přítomných členů svazku, schválený pořad jednání valná hromada, stručný průběh diskuze, výsledek hlasování a přijatá usnesení.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52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Zápis, který musí být pořízen do 10 dnů po skončení valná hromada, musí být uložen k nahlédnutí veřejnosti v sídle svazku a v sídlech členů svazku; zároveň jej předseda ve stejné lhůtě zveřejní na internetových stránkách svazku. Předseda zápis také rozešle v elektronické podobě všem členům svazku.</w:t>
      </w:r>
    </w:p>
    <w:p w:rsidR="000E099E" w:rsidRPr="00642CAE" w:rsidRDefault="000E099E" w:rsidP="009D3B32">
      <w:pPr>
        <w:numPr>
          <w:ilvl w:val="0"/>
          <w:numId w:val="7"/>
        </w:numPr>
        <w:spacing w:before="240" w:after="260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Člen, který se zúčastnil val</w:t>
      </w:r>
      <w:r w:rsidR="001928C5" w:rsidRPr="00642CAE">
        <w:rPr>
          <w:color w:val="auto"/>
          <w:szCs w:val="24"/>
        </w:rPr>
        <w:t>né hromady</w:t>
      </w:r>
      <w:r w:rsidRPr="00642CAE">
        <w:rPr>
          <w:color w:val="auto"/>
          <w:szCs w:val="24"/>
        </w:rPr>
        <w:t xml:space="preserve">, může proti zápisu ze zasedání podat námitky, a to ve lhůtě 10 dnů ode dne, kdy mu byl zápis v elektronické podobě doručen. O námitkách člena svazku proti zápisu se rozhodne na nejbližším zasedání </w:t>
      </w:r>
      <w:r w:rsidR="001928C5" w:rsidRPr="00642CAE">
        <w:rPr>
          <w:color w:val="auto"/>
          <w:szCs w:val="24"/>
        </w:rPr>
        <w:t>valné hromady</w:t>
      </w:r>
      <w:r w:rsidRPr="00642CAE">
        <w:rPr>
          <w:color w:val="auto"/>
          <w:szCs w:val="24"/>
        </w:rPr>
        <w:t>.</w:t>
      </w:r>
    </w:p>
    <w:p w:rsidR="00305F6E" w:rsidRPr="00642CAE" w:rsidRDefault="000E099E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Valná hromada může přijmout podrobnější pravidla pro své jednání v jednacím řádu.</w:t>
      </w:r>
      <w:r w:rsidR="001928C5" w:rsidRPr="00642CAE">
        <w:rPr>
          <w:color w:val="auto"/>
          <w:szCs w:val="24"/>
        </w:rPr>
        <w:t xml:space="preserve"> </w:t>
      </w:r>
    </w:p>
    <w:p w:rsidR="001928C5" w:rsidRPr="00642CAE" w:rsidRDefault="001928C5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Členská obec může delegovat své hlasy na jinou členskou obec plnou mocí.</w:t>
      </w:r>
    </w:p>
    <w:p w:rsidR="000E099E" w:rsidRPr="00642CAE" w:rsidRDefault="00650C63" w:rsidP="009D3B32">
      <w:pPr>
        <w:numPr>
          <w:ilvl w:val="0"/>
          <w:numId w:val="7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Valná hromada</w:t>
      </w:r>
      <w:r w:rsidR="001928C5" w:rsidRPr="00642CAE">
        <w:rPr>
          <w:color w:val="auto"/>
          <w:szCs w:val="24"/>
        </w:rPr>
        <w:t xml:space="preserve"> může některé pravomoci delegovat na Radu svazku</w:t>
      </w:r>
    </w:p>
    <w:p w:rsidR="00F55EB6" w:rsidRPr="00642CAE" w:rsidRDefault="00AE0E83" w:rsidP="009D3B32">
      <w:pPr>
        <w:pStyle w:val="Nadpis3"/>
        <w:numPr>
          <w:ilvl w:val="0"/>
          <w:numId w:val="6"/>
        </w:numPr>
        <w:spacing w:line="240" w:lineRule="auto"/>
        <w:ind w:hanging="720"/>
        <w:contextualSpacing/>
        <w:rPr>
          <w:color w:val="auto"/>
        </w:rPr>
      </w:pPr>
      <w:r w:rsidRPr="00642CAE">
        <w:rPr>
          <w:color w:val="auto"/>
        </w:rPr>
        <w:t>Rada svazku</w:t>
      </w:r>
    </w:p>
    <w:p w:rsidR="00F55EB6" w:rsidRPr="00642CAE" w:rsidRDefault="00AE0E83" w:rsidP="009D3B32">
      <w:pPr>
        <w:spacing w:after="0" w:line="240" w:lineRule="auto"/>
        <w:ind w:left="393" w:right="221"/>
        <w:contextualSpacing/>
        <w:rPr>
          <w:color w:val="auto"/>
        </w:rPr>
      </w:pPr>
      <w:r w:rsidRPr="00642CAE">
        <w:rPr>
          <w:color w:val="auto"/>
        </w:rPr>
        <w:t>Rad</w:t>
      </w:r>
      <w:r w:rsidR="00650C63" w:rsidRPr="00642CAE">
        <w:rPr>
          <w:color w:val="auto"/>
        </w:rPr>
        <w:t>a je výkonným orgánem svazku. Valná hromada</w:t>
      </w:r>
      <w:r w:rsidRPr="00642CAE">
        <w:rPr>
          <w:color w:val="auto"/>
        </w:rPr>
        <w:t xml:space="preserve"> volí ze svého středu Radu svazku složenou z </w:t>
      </w:r>
      <w:r w:rsidR="0047116F" w:rsidRPr="00642CAE">
        <w:rPr>
          <w:color w:val="auto"/>
        </w:rPr>
        <w:t>p</w:t>
      </w:r>
      <w:r w:rsidRPr="00642CAE">
        <w:rPr>
          <w:color w:val="auto"/>
        </w:rPr>
        <w:t>ředsedy, místopředsedy</w:t>
      </w:r>
      <w:r w:rsidR="003C046B" w:rsidRPr="00642CAE">
        <w:rPr>
          <w:color w:val="auto"/>
        </w:rPr>
        <w:t xml:space="preserve"> svazku</w:t>
      </w:r>
      <w:r w:rsidRPr="00642CAE">
        <w:rPr>
          <w:color w:val="auto"/>
        </w:rPr>
        <w:t xml:space="preserve"> a dalších členů. Rada má nejméně tři, nejvíce sedm členů.</w:t>
      </w:r>
      <w:r w:rsidR="0047116F" w:rsidRPr="00642CAE">
        <w:rPr>
          <w:color w:val="auto"/>
        </w:rPr>
        <w:t xml:space="preserve"> </w:t>
      </w:r>
      <w:r w:rsidRPr="00642CAE">
        <w:rPr>
          <w:color w:val="auto"/>
        </w:rPr>
        <w:t>Rada je usnášeníschopná, je-li přítomna nadpoloviční většina všech členů rady a rozhoduje nadpoloviční většinou všech přítomných hlasů.</w:t>
      </w:r>
    </w:p>
    <w:p w:rsidR="00F55EB6" w:rsidRPr="00642CAE" w:rsidRDefault="00AE0E83" w:rsidP="009D3B32">
      <w:pPr>
        <w:spacing w:after="70" w:line="240" w:lineRule="auto"/>
        <w:ind w:left="370" w:hanging="10"/>
        <w:contextualSpacing/>
        <w:jc w:val="left"/>
        <w:rPr>
          <w:color w:val="auto"/>
        </w:rPr>
      </w:pPr>
      <w:r w:rsidRPr="00642CAE">
        <w:rPr>
          <w:color w:val="auto"/>
          <w:u w:val="single" w:color="000000"/>
        </w:rPr>
        <w:t>Do pravomoci Rady patří zejména:</w:t>
      </w:r>
    </w:p>
    <w:p w:rsidR="00EB6DB0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zajištění činn</w:t>
      </w:r>
      <w:r w:rsidR="00A737F3" w:rsidRPr="00642CAE">
        <w:rPr>
          <w:color w:val="auto"/>
          <w:szCs w:val="24"/>
        </w:rPr>
        <w:t>osti svazku mezi zasedáními VH,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vypracování a schválení jednacích dokumentů, 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hospodaření s majetkem svazku a samostatné rozhodnutí o rozpočtovém opatření do </w:t>
      </w:r>
      <w:r w:rsidRPr="00B4270F">
        <w:rPr>
          <w:color w:val="auto"/>
          <w:szCs w:val="24"/>
        </w:rPr>
        <w:t xml:space="preserve">výše 50 000,- Kč </w:t>
      </w:r>
      <w:r w:rsidRPr="00642CAE">
        <w:rPr>
          <w:color w:val="auto"/>
          <w:szCs w:val="24"/>
        </w:rPr>
        <w:t>(Provedená rozpočtová opatření</w:t>
      </w:r>
      <w:r w:rsidR="003C046B" w:rsidRPr="00642CAE">
        <w:rPr>
          <w:color w:val="auto"/>
          <w:szCs w:val="24"/>
        </w:rPr>
        <w:t xml:space="preserve"> Rada předkládá VH na vědomí.),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provádění povinných rozpočtových opatření, pokud se jedná o přijetí finančních prostředků z jiných rozpočtů (dotace, příspěvky, vklady, granty) a jejich využití v souladu s požadavky poskytovatele, a to až do výše přijatých prostředků, 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přijetí vnitřní směrnice k realizaci projektů a její předložení VH na vědomí, 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vypracování výroční zprávy o činnosti a zprávy o hospodaření a předložení ke schválení VH, </w:t>
      </w:r>
    </w:p>
    <w:p w:rsidR="003C046B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v případě nepřítomnosti předsedy a místopředsedy pověření jiného člena Rady oprávněním jednat jménem svazku, </w:t>
      </w:r>
    </w:p>
    <w:p w:rsidR="00F55EB6" w:rsidRPr="00642CAE" w:rsidRDefault="00AE0E83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vy</w:t>
      </w:r>
      <w:r w:rsidR="000358C1" w:rsidRPr="00642CAE">
        <w:rPr>
          <w:color w:val="auto"/>
          <w:szCs w:val="24"/>
        </w:rPr>
        <w:t>hlášení rozpočtového provizoria,</w:t>
      </w:r>
    </w:p>
    <w:p w:rsidR="00642CAE" w:rsidRPr="00642CAE" w:rsidRDefault="000358C1" w:rsidP="009D3B32">
      <w:pPr>
        <w:numPr>
          <w:ilvl w:val="0"/>
          <w:numId w:val="11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přijímání zaměstnanců svazku</w:t>
      </w:r>
    </w:p>
    <w:p w:rsidR="00F55EB6" w:rsidRPr="00642CAE" w:rsidRDefault="00AE0E83" w:rsidP="009D3B32">
      <w:pPr>
        <w:spacing w:before="240" w:after="174" w:line="240" w:lineRule="auto"/>
        <w:ind w:left="393" w:right="14" w:firstLine="0"/>
        <w:contextualSpacing/>
        <w:rPr>
          <w:color w:val="auto"/>
        </w:rPr>
      </w:pPr>
      <w:r w:rsidRPr="00642CAE">
        <w:rPr>
          <w:color w:val="auto"/>
        </w:rPr>
        <w:t>Rada svazku může některé své pravomoci delegovat na člena Rady.</w:t>
      </w:r>
    </w:p>
    <w:p w:rsidR="00642CAE" w:rsidRPr="00642CAE" w:rsidRDefault="00642CAE" w:rsidP="009D3B32">
      <w:pPr>
        <w:spacing w:before="240" w:after="174" w:line="240" w:lineRule="auto"/>
        <w:ind w:left="393" w:right="14" w:firstLine="0"/>
        <w:contextualSpacing/>
        <w:rPr>
          <w:color w:val="auto"/>
        </w:rPr>
      </w:pPr>
    </w:p>
    <w:p w:rsidR="00F55EB6" w:rsidRPr="00642CAE" w:rsidRDefault="00AE0E83" w:rsidP="009D3B32">
      <w:pPr>
        <w:pStyle w:val="Odstavecseseznamem"/>
        <w:numPr>
          <w:ilvl w:val="0"/>
          <w:numId w:val="6"/>
        </w:numPr>
        <w:spacing w:after="153" w:line="240" w:lineRule="auto"/>
        <w:ind w:right="14" w:hanging="720"/>
        <w:rPr>
          <w:color w:val="auto"/>
        </w:rPr>
      </w:pPr>
      <w:r w:rsidRPr="00642CAE">
        <w:rPr>
          <w:color w:val="auto"/>
        </w:rPr>
        <w:t>Statutární zástupci</w:t>
      </w:r>
    </w:p>
    <w:p w:rsidR="00F55EB6" w:rsidRPr="00642CAE" w:rsidRDefault="00AE0E83" w:rsidP="009D3B32">
      <w:pPr>
        <w:numPr>
          <w:ilvl w:val="0"/>
          <w:numId w:val="12"/>
        </w:numPr>
        <w:spacing w:before="240" w:after="604" w:line="240" w:lineRule="auto"/>
        <w:ind w:left="1134" w:right="14" w:hanging="42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Předseda a místopředseda jsou statutárními zástupci svazku. Jednají a podepisují za svazek:</w:t>
      </w:r>
    </w:p>
    <w:p w:rsidR="00F460A5" w:rsidRPr="00642CAE" w:rsidRDefault="00AE0E83" w:rsidP="009D3B32">
      <w:pPr>
        <w:pStyle w:val="Odstavecseseznamem"/>
        <w:numPr>
          <w:ilvl w:val="0"/>
          <w:numId w:val="9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lastRenderedPageBreak/>
        <w:t xml:space="preserve">každý samostatně ve věcech běžné a povinné agendy Svazku, </w:t>
      </w:r>
    </w:p>
    <w:p w:rsidR="00F55EB6" w:rsidRPr="00642CAE" w:rsidRDefault="00AE0E83" w:rsidP="009D3B32">
      <w:pPr>
        <w:pStyle w:val="Odstavecseseznamem"/>
        <w:numPr>
          <w:ilvl w:val="0"/>
          <w:numId w:val="9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každý společně s dalším členem Rady ve věcech Svazek zavazujících.</w:t>
      </w:r>
    </w:p>
    <w:p w:rsidR="00281866" w:rsidRPr="00642CAE" w:rsidRDefault="00281866" w:rsidP="009D3B32">
      <w:pPr>
        <w:pStyle w:val="Odstavecseseznamem"/>
        <w:spacing w:before="240" w:after="15" w:line="240" w:lineRule="auto"/>
        <w:ind w:left="1440" w:right="14" w:firstLine="0"/>
        <w:rPr>
          <w:color w:val="auto"/>
          <w:szCs w:val="24"/>
        </w:rPr>
      </w:pPr>
    </w:p>
    <w:p w:rsidR="00F55EB6" w:rsidRPr="00642CAE" w:rsidRDefault="00AE0E83" w:rsidP="009D3B32">
      <w:pPr>
        <w:pStyle w:val="Odstavecseseznamem"/>
        <w:numPr>
          <w:ilvl w:val="0"/>
          <w:numId w:val="12"/>
        </w:numPr>
        <w:spacing w:after="127" w:line="240" w:lineRule="auto"/>
        <w:ind w:left="1134" w:right="338" w:hanging="425"/>
        <w:rPr>
          <w:color w:val="auto"/>
        </w:rPr>
      </w:pPr>
      <w:r w:rsidRPr="00642CAE">
        <w:rPr>
          <w:color w:val="auto"/>
        </w:rPr>
        <w:t>Předseda svolává a řídí jednání VH a Rady, jedná a podepisuje za svazek podle ustanovení písm. a) tohoto odstavce, reprezentuje Svazek navenek a vůči zaměstnancům svazku plní roli zaměstnavatele. V nepřítomnosti předsedy nebo s vědomím předsedy plní tyto úkoly místopředseda nebo jiný pověřený člen Rady.</w:t>
      </w:r>
    </w:p>
    <w:p w:rsidR="00281866" w:rsidRPr="00642CAE" w:rsidRDefault="00281866" w:rsidP="009D3B32">
      <w:pPr>
        <w:pStyle w:val="Odstavecseseznamem"/>
        <w:spacing w:after="127" w:line="240" w:lineRule="auto"/>
        <w:ind w:left="1134" w:right="338" w:hanging="425"/>
        <w:rPr>
          <w:color w:val="auto"/>
        </w:rPr>
      </w:pPr>
    </w:p>
    <w:p w:rsidR="005F506E" w:rsidRPr="00642CAE" w:rsidRDefault="005F506E" w:rsidP="009D3B32">
      <w:pPr>
        <w:pStyle w:val="Odstavecseseznamem"/>
        <w:numPr>
          <w:ilvl w:val="0"/>
          <w:numId w:val="12"/>
        </w:numPr>
        <w:spacing w:after="3" w:line="240" w:lineRule="auto"/>
        <w:ind w:left="1134" w:right="338" w:hanging="425"/>
        <w:rPr>
          <w:color w:val="auto"/>
          <w:szCs w:val="24"/>
        </w:rPr>
      </w:pPr>
      <w:r w:rsidRPr="00642CAE">
        <w:rPr>
          <w:color w:val="auto"/>
          <w:szCs w:val="24"/>
        </w:rPr>
        <w:t>Do působnosti předsedy náleží zejména: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řídit činnost svazku mezi jednotlivými zasedáními shromáždění starostů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svolávat zasedání shromáždění starostů, zajišťovat podklady pro zasedání, řídit zasedání,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zajišťovat vedení účetnictví, případně dalších agend svazku podle zvláštních právních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předpisů,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předkládat zprávy o výsledcích kontrol prováděných kontrolní komisí zastupitelstvům členských obcí,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rozhodovat o dalších záležitostech svazku, které dle těchto stanov nespadají do působnosti jiného orgánu svazku,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before="240" w:after="15" w:line="240" w:lineRule="auto"/>
        <w:ind w:right="14"/>
        <w:rPr>
          <w:color w:val="auto"/>
          <w:szCs w:val="24"/>
        </w:rPr>
      </w:pPr>
      <w:r w:rsidRPr="00642CAE">
        <w:rPr>
          <w:color w:val="auto"/>
          <w:szCs w:val="24"/>
        </w:rPr>
        <w:t>vést úplný a aktuální Seznam členů svazku.</w:t>
      </w:r>
    </w:p>
    <w:p w:rsidR="005F506E" w:rsidRPr="00642CAE" w:rsidRDefault="005F506E" w:rsidP="009D3B32">
      <w:pPr>
        <w:pStyle w:val="Odstavecseseznamem"/>
        <w:numPr>
          <w:ilvl w:val="0"/>
          <w:numId w:val="10"/>
        </w:numPr>
        <w:spacing w:after="3" w:line="240" w:lineRule="auto"/>
        <w:ind w:right="338"/>
        <w:rPr>
          <w:color w:val="auto"/>
          <w:szCs w:val="24"/>
        </w:rPr>
      </w:pPr>
      <w:r w:rsidRPr="00642CAE">
        <w:rPr>
          <w:color w:val="auto"/>
          <w:szCs w:val="24"/>
        </w:rPr>
        <w:t>Předseda odpovídá za včasné objednání přezkoumání hospodaření svazku za uplynulý</w:t>
      </w:r>
      <w:r w:rsidR="00281866" w:rsidRPr="00642CAE">
        <w:rPr>
          <w:color w:val="auto"/>
          <w:szCs w:val="24"/>
        </w:rPr>
        <w:t xml:space="preserve"> </w:t>
      </w:r>
      <w:r w:rsidRPr="00642CAE">
        <w:rPr>
          <w:color w:val="auto"/>
          <w:szCs w:val="24"/>
        </w:rPr>
        <w:t>kalendářní rok a za informování veřejnosti o činnosti svazku.</w:t>
      </w:r>
    </w:p>
    <w:p w:rsidR="005E703D" w:rsidRPr="00642CAE" w:rsidRDefault="005E703D" w:rsidP="009D3B32">
      <w:pPr>
        <w:pStyle w:val="Odstavecseseznamem"/>
        <w:spacing w:after="3" w:line="240" w:lineRule="auto"/>
        <w:ind w:left="1440" w:right="338" w:firstLine="0"/>
        <w:rPr>
          <w:color w:val="auto"/>
          <w:szCs w:val="24"/>
        </w:rPr>
      </w:pPr>
    </w:p>
    <w:p w:rsidR="005F506E" w:rsidRPr="00642CAE" w:rsidRDefault="005F506E" w:rsidP="009D3B32">
      <w:pPr>
        <w:pStyle w:val="Odstavecseseznamem"/>
        <w:numPr>
          <w:ilvl w:val="0"/>
          <w:numId w:val="12"/>
        </w:numPr>
        <w:spacing w:after="3" w:line="240" w:lineRule="auto"/>
        <w:ind w:left="1134" w:right="338" w:hanging="425"/>
        <w:rPr>
          <w:color w:val="auto"/>
          <w:szCs w:val="24"/>
        </w:rPr>
      </w:pPr>
      <w:r w:rsidRPr="00642CAE">
        <w:rPr>
          <w:color w:val="auto"/>
          <w:szCs w:val="24"/>
        </w:rPr>
        <w:t>Funkce předsedy (místopředsedy) zaniká:</w:t>
      </w:r>
    </w:p>
    <w:p w:rsidR="005E703D" w:rsidRPr="00642CAE" w:rsidRDefault="005E703D" w:rsidP="009D3B32">
      <w:pPr>
        <w:pStyle w:val="Odstavecseseznamem"/>
        <w:spacing w:after="3" w:line="240" w:lineRule="auto"/>
        <w:ind w:right="338" w:firstLine="0"/>
        <w:rPr>
          <w:color w:val="auto"/>
          <w:szCs w:val="24"/>
        </w:rPr>
      </w:pPr>
    </w:p>
    <w:p w:rsidR="005F506E" w:rsidRPr="00642CAE" w:rsidRDefault="005F506E" w:rsidP="009D3B32">
      <w:pPr>
        <w:numPr>
          <w:ilvl w:val="1"/>
          <w:numId w:val="13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uplynutím funkčního období,</w:t>
      </w:r>
    </w:p>
    <w:p w:rsidR="005F506E" w:rsidRPr="00642CAE" w:rsidRDefault="005F506E" w:rsidP="009D3B32">
      <w:pPr>
        <w:numPr>
          <w:ilvl w:val="1"/>
          <w:numId w:val="13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zánikem funkce starosty či místostarosty,</w:t>
      </w:r>
    </w:p>
    <w:p w:rsidR="005F506E" w:rsidRPr="00642CAE" w:rsidRDefault="005F506E" w:rsidP="009D3B32">
      <w:pPr>
        <w:numPr>
          <w:ilvl w:val="1"/>
          <w:numId w:val="13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odvoláním předsedy (míst</w:t>
      </w:r>
      <w:r w:rsidR="005E703D" w:rsidRPr="00642CAE">
        <w:rPr>
          <w:color w:val="auto"/>
        </w:rPr>
        <w:t>opředsedy) valnou hromadou</w:t>
      </w:r>
      <w:r w:rsidRPr="00642CAE">
        <w:rPr>
          <w:color w:val="auto"/>
        </w:rPr>
        <w:t>,</w:t>
      </w:r>
    </w:p>
    <w:p w:rsidR="005F506E" w:rsidRPr="00642CAE" w:rsidRDefault="005F506E" w:rsidP="009D3B32">
      <w:pPr>
        <w:numPr>
          <w:ilvl w:val="1"/>
          <w:numId w:val="13"/>
        </w:numPr>
        <w:spacing w:after="1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vzdáním se funkce; výpovědní doba činí 2 měsíce,</w:t>
      </w:r>
    </w:p>
    <w:p w:rsidR="005E703D" w:rsidRPr="00642CAE" w:rsidRDefault="005F506E" w:rsidP="009D3B32">
      <w:pPr>
        <w:numPr>
          <w:ilvl w:val="1"/>
          <w:numId w:val="13"/>
        </w:numPr>
        <w:spacing w:after="3" w:line="240" w:lineRule="auto"/>
        <w:ind w:right="338"/>
        <w:contextualSpacing/>
        <w:rPr>
          <w:color w:val="auto"/>
          <w:szCs w:val="24"/>
        </w:rPr>
      </w:pPr>
      <w:r w:rsidRPr="00642CAE">
        <w:rPr>
          <w:color w:val="auto"/>
        </w:rPr>
        <w:t>smrtí předsedy (místopředsedy).</w:t>
      </w:r>
      <w:r w:rsidR="005E703D" w:rsidRPr="00642CAE">
        <w:rPr>
          <w:color w:val="auto"/>
        </w:rPr>
        <w:t xml:space="preserve"> </w:t>
      </w:r>
    </w:p>
    <w:p w:rsidR="005F506E" w:rsidRPr="00642CAE" w:rsidRDefault="005E703D" w:rsidP="009D3B32">
      <w:pPr>
        <w:numPr>
          <w:ilvl w:val="1"/>
          <w:numId w:val="13"/>
        </w:numPr>
        <w:spacing w:after="3" w:line="240" w:lineRule="auto"/>
        <w:ind w:right="338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f</w:t>
      </w:r>
      <w:r w:rsidR="005F506E" w:rsidRPr="00642CAE">
        <w:rPr>
          <w:color w:val="auto"/>
          <w:szCs w:val="24"/>
        </w:rPr>
        <w:t>unkce předsedy (místopředsedy) dále zaniká zvolením nového předsedy (místopředsedy). V případě zániku funkce jiným způsobem zvolí příslušný orgán nejpozději do 2 měsíců od zániku funkce nového předsedu, příp. místopředsedu.</w:t>
      </w:r>
    </w:p>
    <w:p w:rsidR="005F506E" w:rsidRPr="00642CAE" w:rsidRDefault="005F506E" w:rsidP="009D3B32">
      <w:pPr>
        <w:numPr>
          <w:ilvl w:val="1"/>
          <w:numId w:val="13"/>
        </w:numPr>
        <w:spacing w:after="3" w:line="240" w:lineRule="auto"/>
        <w:ind w:right="338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Uplyne-li doba, na kterou byl předseda (místopředseda) zvolen, zůstává tento ve funkci do doby zvolení nového předsedy (místopředsedy).</w:t>
      </w:r>
    </w:p>
    <w:p w:rsidR="00642CAE" w:rsidRPr="00642CAE" w:rsidRDefault="00642CAE" w:rsidP="009D3B32">
      <w:pPr>
        <w:spacing w:after="153" w:line="240" w:lineRule="auto"/>
        <w:ind w:left="0" w:right="14" w:firstLine="0"/>
        <w:contextualSpacing/>
        <w:rPr>
          <w:color w:val="auto"/>
        </w:rPr>
      </w:pPr>
    </w:p>
    <w:p w:rsidR="00DD4590" w:rsidRPr="00642CAE" w:rsidRDefault="00AE0E83" w:rsidP="009D3B32">
      <w:pPr>
        <w:pStyle w:val="Odstavecseseznamem"/>
        <w:numPr>
          <w:ilvl w:val="0"/>
          <w:numId w:val="6"/>
        </w:numPr>
        <w:spacing w:after="153" w:line="240" w:lineRule="auto"/>
        <w:ind w:right="14" w:hanging="720"/>
        <w:rPr>
          <w:color w:val="auto"/>
        </w:rPr>
      </w:pPr>
      <w:r w:rsidRPr="00642CAE">
        <w:rPr>
          <w:color w:val="auto"/>
        </w:rPr>
        <w:t>Kontrolní komise</w:t>
      </w:r>
    </w:p>
    <w:p w:rsidR="00DD4590" w:rsidRPr="00642CAE" w:rsidRDefault="00DD4590" w:rsidP="009D3B32">
      <w:pPr>
        <w:spacing w:line="240" w:lineRule="auto"/>
        <w:contextualSpacing/>
        <w:rPr>
          <w:color w:val="auto"/>
        </w:rPr>
      </w:pPr>
    </w:p>
    <w:p w:rsidR="00F55EB6" w:rsidRPr="00642CAE" w:rsidRDefault="00AE0E83" w:rsidP="009D3B32">
      <w:pPr>
        <w:pStyle w:val="Odstavecseseznamem"/>
        <w:numPr>
          <w:ilvl w:val="0"/>
          <w:numId w:val="14"/>
        </w:numPr>
        <w:spacing w:after="3" w:line="240" w:lineRule="auto"/>
        <w:ind w:left="1134" w:right="338" w:hanging="425"/>
        <w:rPr>
          <w:color w:val="auto"/>
          <w:szCs w:val="24"/>
        </w:rPr>
      </w:pPr>
      <w:r w:rsidRPr="00642CAE">
        <w:rPr>
          <w:color w:val="auto"/>
          <w:szCs w:val="24"/>
        </w:rPr>
        <w:t xml:space="preserve">Kontrolní komise Svazku </w:t>
      </w:r>
      <w:r w:rsidR="00992CA4" w:rsidRPr="00642CAE">
        <w:rPr>
          <w:color w:val="auto"/>
          <w:szCs w:val="24"/>
        </w:rPr>
        <w:t>má tři</w:t>
      </w:r>
      <w:r w:rsidRPr="00642CAE">
        <w:rPr>
          <w:color w:val="auto"/>
          <w:szCs w:val="24"/>
        </w:rPr>
        <w:t xml:space="preserve"> členy, jmenované na návrh zástupců členských obcí VH. Každá členská obec může prostřednictvím svého zástupce navrhnout nejvýše jednoho člena Kontrolní komise.</w:t>
      </w:r>
    </w:p>
    <w:p w:rsidR="00F55EB6" w:rsidRPr="00642CAE" w:rsidRDefault="00AE0E83" w:rsidP="009D3B32">
      <w:pPr>
        <w:spacing w:line="240" w:lineRule="auto"/>
        <w:ind w:left="393" w:right="14"/>
        <w:contextualSpacing/>
        <w:rPr>
          <w:color w:val="auto"/>
        </w:rPr>
      </w:pPr>
      <w:r w:rsidRPr="00642CAE">
        <w:rPr>
          <w:color w:val="auto"/>
        </w:rPr>
        <w:t>Kontrolní komise:</w:t>
      </w:r>
    </w:p>
    <w:p w:rsidR="00F55EB6" w:rsidRPr="00642CAE" w:rsidRDefault="00AE0E83" w:rsidP="009D3B32">
      <w:pPr>
        <w:pStyle w:val="Odstavecseseznamem"/>
        <w:numPr>
          <w:ilvl w:val="1"/>
          <w:numId w:val="15"/>
        </w:numPr>
        <w:spacing w:after="15" w:line="240" w:lineRule="auto"/>
        <w:ind w:left="1418" w:right="14" w:hanging="284"/>
        <w:rPr>
          <w:color w:val="auto"/>
        </w:rPr>
      </w:pPr>
      <w:r w:rsidRPr="00642CAE">
        <w:rPr>
          <w:color w:val="auto"/>
        </w:rPr>
        <w:t>reviduje finanční hospodaření svazku a zprávu o revizi za uplynulý rok předkládá nejméně jednou ročně VH, nejpozději do 30. 6. následujícího roku.</w:t>
      </w:r>
    </w:p>
    <w:p w:rsidR="00F55EB6" w:rsidRPr="00642CAE" w:rsidRDefault="00AE0E83" w:rsidP="009D3B32">
      <w:pPr>
        <w:numPr>
          <w:ilvl w:val="1"/>
          <w:numId w:val="15"/>
        </w:numPr>
        <w:spacing w:after="15" w:line="240" w:lineRule="auto"/>
        <w:ind w:left="1418" w:right="14" w:hanging="284"/>
        <w:contextualSpacing/>
        <w:rPr>
          <w:color w:val="auto"/>
        </w:rPr>
      </w:pPr>
      <w:r w:rsidRPr="00642CAE">
        <w:rPr>
          <w:color w:val="auto"/>
        </w:rPr>
        <w:t>V případě zjištění závažných závad a nesrovnalostí v hospodaření svazku informuje o této skutečnosti neprodleně Radu svazku, která je povinna do 10 dnů předat komisi písemné stanovisko ke zjištění.</w:t>
      </w:r>
    </w:p>
    <w:p w:rsidR="00F55EB6" w:rsidRPr="00642CAE" w:rsidRDefault="00AE0E83" w:rsidP="009D3B32">
      <w:pPr>
        <w:numPr>
          <w:ilvl w:val="1"/>
          <w:numId w:val="15"/>
        </w:numPr>
        <w:spacing w:after="15" w:line="240" w:lineRule="auto"/>
        <w:ind w:left="1418" w:right="14" w:hanging="284"/>
        <w:contextualSpacing/>
        <w:rPr>
          <w:color w:val="auto"/>
        </w:rPr>
      </w:pPr>
      <w:r w:rsidRPr="00642CAE">
        <w:rPr>
          <w:color w:val="auto"/>
        </w:rPr>
        <w:lastRenderedPageBreak/>
        <w:t>Zjištění závažných závad a nesrovnalostí v hospodaření svazku předává spolu s písemným stanoviskem rady svazku statutárním orgánům členských obcí.</w:t>
      </w:r>
    </w:p>
    <w:p w:rsidR="00F55EB6" w:rsidRPr="00642CAE" w:rsidRDefault="00AE0E83" w:rsidP="009D3B32">
      <w:pPr>
        <w:numPr>
          <w:ilvl w:val="1"/>
          <w:numId w:val="15"/>
        </w:numPr>
        <w:spacing w:after="15" w:line="240" w:lineRule="auto"/>
        <w:ind w:left="1418" w:right="14" w:hanging="284"/>
        <w:contextualSpacing/>
        <w:rPr>
          <w:color w:val="auto"/>
        </w:rPr>
      </w:pPr>
      <w:r w:rsidRPr="00642CAE">
        <w:rPr>
          <w:color w:val="auto"/>
        </w:rPr>
        <w:t>Přijímá podněty členských obcí ke kontrole hospodaření svazku a do šedesáti dnů od obdržení podnětu písemně informuje podavatele o vypořádání podnětu.</w:t>
      </w:r>
    </w:p>
    <w:p w:rsidR="00642CAE" w:rsidRPr="00642CAE" w:rsidRDefault="00642CAE" w:rsidP="009D3B32">
      <w:pPr>
        <w:spacing w:after="15" w:line="240" w:lineRule="auto"/>
        <w:ind w:left="1418" w:right="14" w:firstLine="0"/>
        <w:contextualSpacing/>
        <w:rPr>
          <w:color w:val="auto"/>
        </w:rPr>
      </w:pPr>
    </w:p>
    <w:p w:rsidR="00F55EB6" w:rsidRPr="00642CAE" w:rsidRDefault="00AE0E83" w:rsidP="009D3B32">
      <w:pPr>
        <w:pStyle w:val="Odstavecseseznamem"/>
        <w:numPr>
          <w:ilvl w:val="0"/>
          <w:numId w:val="6"/>
        </w:numPr>
        <w:spacing w:after="153" w:line="240" w:lineRule="auto"/>
        <w:ind w:right="14" w:hanging="720"/>
        <w:rPr>
          <w:color w:val="auto"/>
        </w:rPr>
      </w:pPr>
      <w:r w:rsidRPr="00642CAE">
        <w:rPr>
          <w:color w:val="auto"/>
        </w:rPr>
        <w:t>Orgán pro schválení účetní závěrky</w:t>
      </w:r>
    </w:p>
    <w:p w:rsidR="00642CAE" w:rsidRPr="00642CAE" w:rsidRDefault="00642CAE" w:rsidP="009D3B32">
      <w:pPr>
        <w:pStyle w:val="Odstavecseseznamem"/>
        <w:spacing w:after="153" w:line="240" w:lineRule="auto"/>
        <w:ind w:right="14" w:firstLine="0"/>
        <w:rPr>
          <w:color w:val="auto"/>
        </w:rPr>
      </w:pPr>
    </w:p>
    <w:p w:rsidR="00F55EB6" w:rsidRPr="00642CAE" w:rsidRDefault="00AE0E83" w:rsidP="009D3B32">
      <w:pPr>
        <w:pStyle w:val="Odstavecseseznamem"/>
        <w:numPr>
          <w:ilvl w:val="1"/>
          <w:numId w:val="6"/>
        </w:numPr>
        <w:spacing w:after="3" w:line="240" w:lineRule="auto"/>
        <w:ind w:left="1134" w:right="338" w:hanging="425"/>
        <w:rPr>
          <w:color w:val="auto"/>
          <w:szCs w:val="24"/>
        </w:rPr>
      </w:pPr>
      <w:r w:rsidRPr="00642CAE">
        <w:rPr>
          <w:color w:val="auto"/>
          <w:szCs w:val="24"/>
        </w:rPr>
        <w:t>Orgánem pro schvalování účetní závěrky je Rada svazku. Tento orgán je zřízen VH v souladu s vyhláškou č. 220/2013 Sb. a ve své práci se řídí platnou legislativou a vnitřními předpisy.</w:t>
      </w:r>
    </w:p>
    <w:p w:rsidR="00DD4590" w:rsidRPr="00642CAE" w:rsidRDefault="00DD4590" w:rsidP="009D3B32">
      <w:pPr>
        <w:pStyle w:val="Odstavecseseznamem"/>
        <w:spacing w:after="3" w:line="240" w:lineRule="auto"/>
        <w:ind w:right="338" w:firstLine="0"/>
        <w:rPr>
          <w:color w:val="auto"/>
          <w:szCs w:val="24"/>
        </w:rPr>
      </w:pP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VI. Majetek svazku a zdroje pří</w:t>
      </w:r>
      <w:r w:rsidR="009D3B32">
        <w:rPr>
          <w:b/>
          <w:color w:val="auto"/>
          <w:sz w:val="28"/>
        </w:rPr>
        <w:t>j</w:t>
      </w:r>
      <w:r w:rsidRPr="00642CAE">
        <w:rPr>
          <w:b/>
          <w:color w:val="auto"/>
          <w:sz w:val="28"/>
        </w:rPr>
        <w:t>mu</w:t>
      </w:r>
    </w:p>
    <w:p w:rsidR="00F55EB6" w:rsidRPr="00642CAE" w:rsidRDefault="00AE0E83" w:rsidP="009D3B32">
      <w:pPr>
        <w:numPr>
          <w:ilvl w:val="0"/>
          <w:numId w:val="23"/>
        </w:numPr>
        <w:spacing w:after="153" w:line="240" w:lineRule="auto"/>
        <w:ind w:right="14" w:hanging="360"/>
        <w:contextualSpacing/>
        <w:rPr>
          <w:color w:val="auto"/>
        </w:rPr>
      </w:pPr>
      <w:r w:rsidRPr="00642CAE">
        <w:rPr>
          <w:color w:val="auto"/>
        </w:rPr>
        <w:t xml:space="preserve">Majetek svazku je tvořen finančními příjmy, popřípadě dalším hmotným a nehmotným majetkem. </w:t>
      </w:r>
      <w:r w:rsidR="00464462" w:rsidRPr="00642CAE">
        <w:rPr>
          <w:color w:val="auto"/>
          <w:u w:val="single" w:color="000000"/>
        </w:rPr>
        <w:t>Finančními příjmy j</w:t>
      </w:r>
      <w:r w:rsidRPr="00642CAE">
        <w:rPr>
          <w:color w:val="auto"/>
          <w:u w:val="single" w:color="000000"/>
        </w:rPr>
        <w:t>sou zejména:</w:t>
      </w:r>
    </w:p>
    <w:p w:rsidR="00F55EB6" w:rsidRPr="00642CAE" w:rsidRDefault="00AE0E83" w:rsidP="009D3B32">
      <w:pPr>
        <w:numPr>
          <w:ilvl w:val="1"/>
          <w:numId w:val="1"/>
        </w:numPr>
        <w:spacing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členské příspěvky</w:t>
      </w:r>
    </w:p>
    <w:p w:rsidR="00F55EB6" w:rsidRPr="00642CAE" w:rsidRDefault="00AE0E83" w:rsidP="009D3B32">
      <w:pPr>
        <w:numPr>
          <w:ilvl w:val="1"/>
          <w:numId w:val="1"/>
        </w:numPr>
        <w:spacing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mimořádné příspěvky</w:t>
      </w:r>
    </w:p>
    <w:p w:rsidR="00464462" w:rsidRPr="00642CAE" w:rsidRDefault="00AE0E83" w:rsidP="009D3B32">
      <w:pPr>
        <w:numPr>
          <w:ilvl w:val="1"/>
          <w:numId w:val="1"/>
        </w:numPr>
        <w:spacing w:after="108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dotace a jiné formy příspěvku na činnost</w:t>
      </w:r>
    </w:p>
    <w:p w:rsidR="00F55EB6" w:rsidRPr="00642CAE" w:rsidRDefault="00AE0E83" w:rsidP="009D3B32">
      <w:pPr>
        <w:numPr>
          <w:ilvl w:val="1"/>
          <w:numId w:val="1"/>
        </w:numPr>
        <w:spacing w:after="108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příjmy z ostatních činností</w:t>
      </w:r>
    </w:p>
    <w:p w:rsidR="00F55EB6" w:rsidRPr="00642CAE" w:rsidRDefault="00AE0E83" w:rsidP="009D3B32">
      <w:pPr>
        <w:pStyle w:val="Odstavecseseznamem"/>
        <w:numPr>
          <w:ilvl w:val="0"/>
          <w:numId w:val="23"/>
        </w:numPr>
        <w:spacing w:after="139" w:line="240" w:lineRule="auto"/>
        <w:ind w:right="14" w:hanging="384"/>
        <w:rPr>
          <w:color w:val="auto"/>
        </w:rPr>
      </w:pPr>
      <w:r w:rsidRPr="00642CAE">
        <w:rPr>
          <w:color w:val="auto"/>
        </w:rPr>
        <w:t>Členské příspěvky jsou splatné nejpozději do 20. března běžného roku členství nebo do 80 dnů od vzniku členství.</w:t>
      </w:r>
    </w:p>
    <w:p w:rsidR="00F55EB6" w:rsidRPr="00642CAE" w:rsidRDefault="00AE0E83" w:rsidP="009D3B32">
      <w:pPr>
        <w:spacing w:after="231" w:line="240" w:lineRule="auto"/>
        <w:ind w:left="393" w:right="14"/>
        <w:contextualSpacing/>
        <w:rPr>
          <w:color w:val="auto"/>
        </w:rPr>
      </w:pPr>
      <w:r w:rsidRPr="00642CAE">
        <w:rPr>
          <w:color w:val="auto"/>
        </w:rPr>
        <w:t>Členské příspěvky jsou určené primárně na úhradu nákladů spojených s provozem svazku.</w:t>
      </w:r>
    </w:p>
    <w:p w:rsidR="00882073" w:rsidRPr="00642CAE" w:rsidRDefault="00882073" w:rsidP="009D3B32">
      <w:pPr>
        <w:pStyle w:val="Odstavecseseznamem"/>
        <w:numPr>
          <w:ilvl w:val="0"/>
          <w:numId w:val="23"/>
        </w:numPr>
        <w:spacing w:after="153" w:line="240" w:lineRule="auto"/>
        <w:ind w:right="14" w:hanging="384"/>
        <w:rPr>
          <w:color w:val="auto"/>
        </w:rPr>
      </w:pPr>
      <w:r w:rsidRPr="00642CAE">
        <w:rPr>
          <w:color w:val="auto"/>
        </w:rPr>
        <w:t xml:space="preserve">Pravidelný roční členský příspěvek pro nadcházející kalendářní rok stanovuje </w:t>
      </w:r>
      <w:r w:rsidR="00F6723E" w:rsidRPr="00642CAE">
        <w:rPr>
          <w:color w:val="auto"/>
        </w:rPr>
        <w:t>valná hromada</w:t>
      </w:r>
      <w:r w:rsidRPr="00642CAE">
        <w:rPr>
          <w:color w:val="auto"/>
        </w:rPr>
        <w:t>, přičemž výše příspěvku každého člena se odvíjí od hospodářského výsledku uplynulých období, aktivit svazku, do nichž se jednotlivé obce zapojují, a od počtu obyvatel.</w:t>
      </w:r>
    </w:p>
    <w:p w:rsidR="00882073" w:rsidRPr="00642CAE" w:rsidRDefault="00882073" w:rsidP="009D3B32">
      <w:pPr>
        <w:numPr>
          <w:ilvl w:val="0"/>
          <w:numId w:val="23"/>
        </w:numPr>
        <w:spacing w:after="153" w:line="240" w:lineRule="auto"/>
        <w:ind w:right="14" w:hanging="360"/>
        <w:contextualSpacing/>
        <w:rPr>
          <w:color w:val="auto"/>
        </w:rPr>
      </w:pPr>
      <w:r w:rsidRPr="00642CAE">
        <w:rPr>
          <w:color w:val="auto"/>
        </w:rPr>
        <w:t xml:space="preserve">V odůvodněných případech může </w:t>
      </w:r>
      <w:r w:rsidR="009F1E57" w:rsidRPr="00642CAE">
        <w:rPr>
          <w:color w:val="auto"/>
        </w:rPr>
        <w:t>valná hromada</w:t>
      </w:r>
      <w:r w:rsidRPr="00642CAE">
        <w:rPr>
          <w:color w:val="auto"/>
        </w:rPr>
        <w:t xml:space="preserve"> schválit mimořádný členský příspěvek.</w:t>
      </w:r>
    </w:p>
    <w:p w:rsidR="00F55EB6" w:rsidRPr="00642CAE" w:rsidRDefault="00AE0E83" w:rsidP="009D3B32">
      <w:pPr>
        <w:numPr>
          <w:ilvl w:val="0"/>
          <w:numId w:val="23"/>
        </w:numPr>
        <w:spacing w:after="195" w:line="240" w:lineRule="auto"/>
        <w:ind w:right="14" w:hanging="360"/>
        <w:contextualSpacing/>
        <w:rPr>
          <w:color w:val="auto"/>
        </w:rPr>
      </w:pPr>
      <w:r w:rsidRPr="00642CAE">
        <w:rPr>
          <w:color w:val="auto"/>
        </w:rPr>
        <w:t xml:space="preserve">Členská obec může dobrovolně učinit mimořádný příspěvek jako vyjádření důvěry a podpory svazku a jeho cílům. </w:t>
      </w:r>
    </w:p>
    <w:p w:rsidR="00F55EB6" w:rsidRPr="00642CAE" w:rsidRDefault="00AE0E83" w:rsidP="009D3B32">
      <w:pPr>
        <w:numPr>
          <w:ilvl w:val="0"/>
          <w:numId w:val="23"/>
        </w:numPr>
        <w:spacing w:after="186" w:line="240" w:lineRule="auto"/>
        <w:ind w:right="14" w:hanging="360"/>
        <w:contextualSpacing/>
        <w:rPr>
          <w:color w:val="auto"/>
        </w:rPr>
      </w:pPr>
      <w:r w:rsidRPr="00642CAE">
        <w:rPr>
          <w:color w:val="auto"/>
        </w:rPr>
        <w:t>Rada svazku může v odůvodněných případech rozhodnout o výši mimořádného příspěvku členské obce, pokud je takové rozhodnutí přiměřené a spravedlivé, například z důvodu předfinancování nebo dofinancování dotovaného projektu. Členská obec, která</w:t>
      </w:r>
      <w:r w:rsidR="00882073" w:rsidRPr="00642CAE">
        <w:rPr>
          <w:color w:val="auto"/>
        </w:rPr>
        <w:t xml:space="preserve"> </w:t>
      </w:r>
      <w:r w:rsidRPr="00642CAE">
        <w:rPr>
          <w:color w:val="auto"/>
        </w:rPr>
        <w:t>má na základě rozhodnutí Rady svazku učinit mimořádný příspěvek, má právo požádat o přezkoumání výše příspěvku Valnou hromadu a Kontrolní komisi.</w:t>
      </w:r>
      <w:r w:rsidR="00F6723E" w:rsidRPr="00642CAE">
        <w:rPr>
          <w:color w:val="auto"/>
        </w:rPr>
        <w:t xml:space="preserve"> </w:t>
      </w:r>
      <w:r w:rsidRPr="00642CAE">
        <w:rPr>
          <w:color w:val="auto"/>
        </w:rPr>
        <w:t>Mimořádné příspěvky jsou splatné do 30 dnů na účet svazku, pokud VH nestanoví jinak.</w:t>
      </w:r>
    </w:p>
    <w:p w:rsidR="00F55EB6" w:rsidRPr="00642CAE" w:rsidRDefault="00AE0E83" w:rsidP="009D3B32">
      <w:pPr>
        <w:numPr>
          <w:ilvl w:val="0"/>
          <w:numId w:val="23"/>
        </w:numPr>
        <w:spacing w:after="184" w:line="240" w:lineRule="auto"/>
        <w:ind w:right="14" w:hanging="360"/>
        <w:contextualSpacing/>
        <w:rPr>
          <w:color w:val="auto"/>
        </w:rPr>
      </w:pPr>
      <w:r w:rsidRPr="00642CAE">
        <w:rPr>
          <w:color w:val="auto"/>
        </w:rPr>
        <w:t>Přijaté finanční prostředky se stávají majetkem svazku. Mohou být použity jen v souladu účelem, za jakým byly přijaty.</w:t>
      </w:r>
    </w:p>
    <w:p w:rsidR="00F55EB6" w:rsidRPr="00C11107" w:rsidRDefault="00AE0E83" w:rsidP="009D3B32">
      <w:pPr>
        <w:numPr>
          <w:ilvl w:val="0"/>
          <w:numId w:val="23"/>
        </w:numPr>
        <w:spacing w:after="414" w:line="240" w:lineRule="auto"/>
        <w:ind w:right="14" w:hanging="360"/>
        <w:contextualSpacing/>
        <w:rPr>
          <w:color w:val="auto"/>
        </w:rPr>
      </w:pPr>
      <w:r w:rsidRPr="00C11107">
        <w:rPr>
          <w:color w:val="auto"/>
        </w:rPr>
        <w:t>Členské obce do svazku nevkládají majetek</w:t>
      </w:r>
      <w:r w:rsidR="00315D76" w:rsidRPr="00C11107">
        <w:rPr>
          <w:color w:val="auto"/>
        </w:rPr>
        <w:t>.</w:t>
      </w:r>
    </w:p>
    <w:p w:rsidR="00315D76" w:rsidRPr="00C11107" w:rsidRDefault="00315D76" w:rsidP="009D3B32">
      <w:pPr>
        <w:numPr>
          <w:ilvl w:val="0"/>
          <w:numId w:val="23"/>
        </w:numPr>
        <w:spacing w:after="414" w:line="240" w:lineRule="auto"/>
        <w:ind w:right="14" w:hanging="360"/>
        <w:contextualSpacing/>
        <w:rPr>
          <w:color w:val="auto"/>
        </w:rPr>
      </w:pPr>
      <w:r w:rsidRPr="00C11107">
        <w:rPr>
          <w:color w:val="auto"/>
        </w:rPr>
        <w:t xml:space="preserve">Zisk svazku se mezi členské obce dělí stejným dílem a podíl na ztrátě svazku nesou </w:t>
      </w:r>
      <w:r w:rsidR="009D3B32" w:rsidRPr="00C11107">
        <w:rPr>
          <w:color w:val="auto"/>
        </w:rPr>
        <w:t xml:space="preserve">členské </w:t>
      </w:r>
      <w:r w:rsidRPr="00C11107">
        <w:rPr>
          <w:color w:val="auto"/>
        </w:rPr>
        <w:t>obce stejným dílem</w:t>
      </w:r>
      <w:r w:rsidR="007C7784" w:rsidRPr="00C11107">
        <w:rPr>
          <w:color w:val="auto"/>
        </w:rPr>
        <w:t>, pokud v</w:t>
      </w:r>
      <w:r w:rsidRPr="00C11107">
        <w:rPr>
          <w:color w:val="auto"/>
        </w:rPr>
        <w:t xml:space="preserve">alná hromada </w:t>
      </w:r>
      <w:r w:rsidR="00C11107" w:rsidRPr="00C11107">
        <w:rPr>
          <w:color w:val="auto"/>
        </w:rPr>
        <w:t>nerozhodne</w:t>
      </w:r>
      <w:r w:rsidR="007C7784" w:rsidRPr="00C11107">
        <w:rPr>
          <w:strike/>
          <w:color w:val="auto"/>
        </w:rPr>
        <w:t xml:space="preserve"> </w:t>
      </w:r>
      <w:r w:rsidR="007C7784" w:rsidRPr="00C11107">
        <w:rPr>
          <w:color w:val="auto"/>
        </w:rPr>
        <w:t xml:space="preserve">jinak. </w:t>
      </w: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VII. Práva a povinnosti členských obcí</w:t>
      </w:r>
    </w:p>
    <w:p w:rsidR="00F55EB6" w:rsidRPr="00642CAE" w:rsidRDefault="00AE0E83" w:rsidP="009D3B32">
      <w:pPr>
        <w:numPr>
          <w:ilvl w:val="0"/>
          <w:numId w:val="22"/>
        </w:numPr>
        <w:spacing w:after="214" w:line="240" w:lineRule="auto"/>
        <w:ind w:right="14" w:hanging="36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Každá z členských obcí svazku má právo prostřednictvím svého zástupce volit a být volena do orgánů svazku.</w:t>
      </w:r>
    </w:p>
    <w:p w:rsidR="00F55EB6" w:rsidRPr="00C11107" w:rsidRDefault="00B22180" w:rsidP="009D3B32">
      <w:pPr>
        <w:numPr>
          <w:ilvl w:val="0"/>
          <w:numId w:val="22"/>
        </w:numPr>
        <w:spacing w:after="151" w:line="240" w:lineRule="auto"/>
        <w:ind w:right="14" w:hanging="365"/>
        <w:contextualSpacing/>
        <w:rPr>
          <w:color w:val="auto"/>
          <w:szCs w:val="24"/>
        </w:rPr>
      </w:pPr>
      <w:r w:rsidRPr="00C11107">
        <w:rPr>
          <w:color w:val="auto"/>
          <w:szCs w:val="24"/>
        </w:rPr>
        <w:lastRenderedPageBreak/>
        <w:t xml:space="preserve">Kontrolu činnosti svazku provádějí obce přímo nebo </w:t>
      </w:r>
      <w:r w:rsidR="00AE0E83" w:rsidRPr="00C11107">
        <w:rPr>
          <w:color w:val="auto"/>
          <w:szCs w:val="24"/>
        </w:rPr>
        <w:t xml:space="preserve">prostřednictvím kontrolní komise </w:t>
      </w:r>
      <w:r w:rsidRPr="00C11107">
        <w:rPr>
          <w:color w:val="auto"/>
          <w:szCs w:val="24"/>
        </w:rPr>
        <w:t xml:space="preserve">svazku. </w:t>
      </w:r>
      <w:r w:rsidR="009D3B32" w:rsidRPr="00C11107">
        <w:rPr>
          <w:color w:val="auto"/>
          <w:szCs w:val="24"/>
        </w:rPr>
        <w:t>P</w:t>
      </w:r>
      <w:r w:rsidRPr="00C11107">
        <w:rPr>
          <w:color w:val="auto"/>
          <w:szCs w:val="24"/>
        </w:rPr>
        <w:t xml:space="preserve">ro výkon přímé kontroly jsou svazek a všechny jeho orgány povinni na </w:t>
      </w:r>
      <w:r w:rsidR="009D3B32" w:rsidRPr="00C11107">
        <w:rPr>
          <w:color w:val="auto"/>
          <w:szCs w:val="24"/>
        </w:rPr>
        <w:t>žádost členské obce</w:t>
      </w:r>
      <w:r w:rsidRPr="00C11107">
        <w:rPr>
          <w:color w:val="auto"/>
          <w:szCs w:val="24"/>
        </w:rPr>
        <w:t xml:space="preserve"> předložit </w:t>
      </w:r>
      <w:r w:rsidR="009D3B32" w:rsidRPr="00C11107">
        <w:rPr>
          <w:color w:val="auto"/>
          <w:szCs w:val="24"/>
        </w:rPr>
        <w:t>jí</w:t>
      </w:r>
      <w:r w:rsidRPr="00C11107">
        <w:rPr>
          <w:color w:val="auto"/>
          <w:szCs w:val="24"/>
        </w:rPr>
        <w:t xml:space="preserve"> jakoukoli písemnost a podat jakoukoli informaci týkající se chodu, činnosti a hospodaření svazku. Není-li v žádosti obce uvedena jin</w:t>
      </w:r>
      <w:r w:rsidR="009D3B32" w:rsidRPr="00C11107">
        <w:rPr>
          <w:color w:val="auto"/>
          <w:szCs w:val="24"/>
        </w:rPr>
        <w:t>á</w:t>
      </w:r>
      <w:r w:rsidRPr="00C11107">
        <w:rPr>
          <w:color w:val="auto"/>
          <w:szCs w:val="24"/>
        </w:rPr>
        <w:t xml:space="preserve"> lhůta, je třeba žádosti vyhovět do </w:t>
      </w:r>
      <w:proofErr w:type="gramStart"/>
      <w:r w:rsidR="00495A59" w:rsidRPr="00C11107">
        <w:rPr>
          <w:color w:val="auto"/>
          <w:szCs w:val="24"/>
        </w:rPr>
        <w:t>14-ti</w:t>
      </w:r>
      <w:proofErr w:type="gramEnd"/>
      <w:r w:rsidR="00495A59" w:rsidRPr="00C11107">
        <w:rPr>
          <w:color w:val="auto"/>
          <w:szCs w:val="24"/>
        </w:rPr>
        <w:t xml:space="preserve"> </w:t>
      </w:r>
      <w:r w:rsidRPr="00C11107">
        <w:rPr>
          <w:color w:val="auto"/>
          <w:szCs w:val="24"/>
        </w:rPr>
        <w:t>dnů</w:t>
      </w:r>
      <w:r w:rsidR="009D3B32" w:rsidRPr="00C11107">
        <w:rPr>
          <w:color w:val="auto"/>
          <w:szCs w:val="24"/>
        </w:rPr>
        <w:t xml:space="preserve"> od jejího doručení orgánu svazku</w:t>
      </w:r>
      <w:r w:rsidRPr="00C11107">
        <w:rPr>
          <w:color w:val="auto"/>
          <w:szCs w:val="24"/>
        </w:rPr>
        <w:t>.</w:t>
      </w:r>
      <w:r w:rsidR="00495A59" w:rsidRPr="00C11107">
        <w:rPr>
          <w:color w:val="auto"/>
          <w:szCs w:val="24"/>
        </w:rPr>
        <w:t xml:space="preserve"> </w:t>
      </w:r>
    </w:p>
    <w:p w:rsidR="00F55EB6" w:rsidRPr="00642CAE" w:rsidRDefault="00AE0E83" w:rsidP="009D3B32">
      <w:pPr>
        <w:numPr>
          <w:ilvl w:val="0"/>
          <w:numId w:val="22"/>
        </w:numPr>
        <w:spacing w:after="178" w:line="240" w:lineRule="auto"/>
        <w:ind w:right="14" w:hanging="36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Každá členská obec má právo vyslat svého pozorovatele na jednání kteréhokoliv orgánu.</w:t>
      </w:r>
    </w:p>
    <w:p w:rsidR="00F55EB6" w:rsidRPr="00642CAE" w:rsidRDefault="00AE0E83" w:rsidP="009D3B32">
      <w:pPr>
        <w:numPr>
          <w:ilvl w:val="0"/>
          <w:numId w:val="22"/>
        </w:numPr>
        <w:spacing w:after="217" w:line="240" w:lineRule="auto"/>
        <w:ind w:right="14" w:hanging="36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Každá členská obec má povinnost účastnit se svým zástupcem na valných hromadách svazku, platit řádně a včas členské a mimořádné příspěvky, informovat radu svazku o zjištěných skutečnostech, které mohou mít vliv na činnost svazku a naplňování jeho cíle, aktivně usilovat o naplnění cíle svazku.</w:t>
      </w:r>
    </w:p>
    <w:p w:rsidR="00F55EB6" w:rsidRPr="00642CAE" w:rsidRDefault="00AE0E83" w:rsidP="009D3B32">
      <w:pPr>
        <w:numPr>
          <w:ilvl w:val="0"/>
          <w:numId w:val="22"/>
        </w:numPr>
        <w:spacing w:after="134" w:line="240" w:lineRule="auto"/>
        <w:ind w:right="14" w:hanging="36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Každá členská obec má právo ze svazku vystoupit.</w:t>
      </w:r>
    </w:p>
    <w:p w:rsidR="00F55EB6" w:rsidRPr="00642CAE" w:rsidRDefault="00AE0E83" w:rsidP="009D3B32">
      <w:pPr>
        <w:numPr>
          <w:ilvl w:val="0"/>
          <w:numId w:val="22"/>
        </w:numPr>
        <w:spacing w:after="343" w:line="240" w:lineRule="auto"/>
        <w:ind w:right="14" w:hanging="365"/>
        <w:contextualSpacing/>
        <w:rPr>
          <w:color w:val="auto"/>
          <w:szCs w:val="24"/>
        </w:rPr>
      </w:pPr>
      <w:r w:rsidRPr="00642CAE">
        <w:rPr>
          <w:color w:val="auto"/>
          <w:szCs w:val="24"/>
        </w:rPr>
        <w:t>Další práva a povinnosti členských obcí jsou uvedena v ostatních článcích stanov nebo vyplývají z platných zákonů.</w:t>
      </w:r>
    </w:p>
    <w:p w:rsidR="00DD4590" w:rsidRPr="00642CAE" w:rsidRDefault="00DD4590" w:rsidP="009D3B32">
      <w:pPr>
        <w:spacing w:after="343" w:line="240" w:lineRule="auto"/>
        <w:ind w:left="396" w:right="14" w:firstLine="0"/>
        <w:contextualSpacing/>
        <w:rPr>
          <w:color w:val="auto"/>
          <w:szCs w:val="24"/>
        </w:rPr>
      </w:pP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VIII. Hospodaření svazku</w:t>
      </w:r>
    </w:p>
    <w:p w:rsidR="00F55EB6" w:rsidRPr="00642CAE" w:rsidRDefault="00AE0E83" w:rsidP="009D3B32">
      <w:pPr>
        <w:numPr>
          <w:ilvl w:val="0"/>
          <w:numId w:val="21"/>
        </w:numPr>
        <w:spacing w:after="223" w:line="240" w:lineRule="auto"/>
        <w:ind w:right="14" w:hanging="365"/>
        <w:contextualSpacing/>
        <w:rPr>
          <w:color w:val="auto"/>
        </w:rPr>
      </w:pPr>
      <w:r w:rsidRPr="00642CAE">
        <w:rPr>
          <w:color w:val="auto"/>
        </w:rPr>
        <w:t>Majetek svazku musí být využíván účelně a hospodárně. Závěrečný účet spolu se zprávou o výsledcích přezkumu hospodaření svazku za uplynulý rok projedná VH svazku nejpozději do 30. 6. následujícího roku.</w:t>
      </w:r>
    </w:p>
    <w:p w:rsidR="00F55EB6" w:rsidRPr="00642CAE" w:rsidRDefault="00AE0E83" w:rsidP="009D3B32">
      <w:pPr>
        <w:numPr>
          <w:ilvl w:val="0"/>
          <w:numId w:val="21"/>
        </w:numPr>
        <w:spacing w:after="155" w:line="240" w:lineRule="auto"/>
        <w:ind w:right="14" w:hanging="365"/>
        <w:contextualSpacing/>
        <w:rPr>
          <w:color w:val="auto"/>
        </w:rPr>
      </w:pPr>
      <w:r w:rsidRPr="00642CAE">
        <w:rPr>
          <w:color w:val="auto"/>
        </w:rPr>
        <w:t>Svazek sestavuje svůj rozpočet a hospodaří podle něj. Rozpočet svazku obcí je finančním plánem, jímž se řídí financování činnosti svazku obcí. Rozpočet je sestavován na příslušný kalendářní rok. Rozpočtový rok je shodný s rokem kalendářním.</w:t>
      </w:r>
    </w:p>
    <w:p w:rsidR="00F55EB6" w:rsidRPr="00642CAE" w:rsidRDefault="00AE0E83" w:rsidP="009D3B32">
      <w:pPr>
        <w:numPr>
          <w:ilvl w:val="0"/>
          <w:numId w:val="21"/>
        </w:numPr>
        <w:spacing w:after="222" w:line="240" w:lineRule="auto"/>
        <w:ind w:right="14" w:hanging="365"/>
        <w:contextualSpacing/>
        <w:rPr>
          <w:color w:val="auto"/>
        </w:rPr>
      </w:pPr>
      <w:r w:rsidRPr="00642CAE">
        <w:rPr>
          <w:color w:val="auto"/>
        </w:rPr>
        <w:t>Návrh rozpočtu sestavuje Rada svazku zpravidla jako vyrovnaný a předkládá jej ke schválení VH.</w:t>
      </w:r>
    </w:p>
    <w:p w:rsidR="00F55EB6" w:rsidRPr="00642CAE" w:rsidRDefault="00AE0E83" w:rsidP="009D3B32">
      <w:pPr>
        <w:numPr>
          <w:ilvl w:val="0"/>
          <w:numId w:val="21"/>
        </w:numPr>
        <w:spacing w:after="194" w:line="240" w:lineRule="auto"/>
        <w:ind w:right="14" w:hanging="365"/>
        <w:contextualSpacing/>
        <w:rPr>
          <w:color w:val="auto"/>
        </w:rPr>
      </w:pPr>
      <w:r w:rsidRPr="00642CAE">
        <w:rPr>
          <w:color w:val="auto"/>
        </w:rPr>
        <w:t>Kladný zůstatek finančních prostředků se převádí k použití v dalším roce, a to ke krytí rozpočtových výdajů, anebo se převádí do peněžního fondu.</w:t>
      </w:r>
    </w:p>
    <w:p w:rsidR="00DD4590" w:rsidRPr="00642CAE" w:rsidRDefault="00DD4590" w:rsidP="009D3B32">
      <w:pPr>
        <w:spacing w:after="223" w:line="240" w:lineRule="auto"/>
        <w:ind w:left="384" w:right="14" w:firstLine="0"/>
        <w:contextualSpacing/>
        <w:rPr>
          <w:color w:val="auto"/>
        </w:rPr>
      </w:pPr>
    </w:p>
    <w:p w:rsidR="00F55EB6" w:rsidRPr="00642CAE" w:rsidRDefault="00AE0E83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</w:rPr>
      </w:pPr>
      <w:r w:rsidRPr="00642CAE">
        <w:rPr>
          <w:b/>
          <w:color w:val="auto"/>
          <w:sz w:val="28"/>
        </w:rPr>
        <w:t>IX. Členství ve svazku</w:t>
      </w:r>
    </w:p>
    <w:p w:rsidR="00F55EB6" w:rsidRPr="00642CAE" w:rsidRDefault="00AE0E83" w:rsidP="009D3B32">
      <w:pPr>
        <w:pStyle w:val="Odstavecseseznamem"/>
        <w:numPr>
          <w:ilvl w:val="0"/>
          <w:numId w:val="20"/>
        </w:numPr>
        <w:spacing w:after="3" w:line="240" w:lineRule="auto"/>
        <w:ind w:right="331"/>
        <w:rPr>
          <w:color w:val="auto"/>
          <w:sz w:val="26"/>
        </w:rPr>
      </w:pPr>
      <w:r w:rsidRPr="00642CAE">
        <w:rPr>
          <w:color w:val="auto"/>
          <w:sz w:val="26"/>
        </w:rPr>
        <w:t>Přistoupení do svazku</w:t>
      </w:r>
    </w:p>
    <w:p w:rsidR="00DD4590" w:rsidRPr="00642CAE" w:rsidRDefault="00DD4590" w:rsidP="009D3B32">
      <w:pPr>
        <w:pStyle w:val="Odstavecseseznamem"/>
        <w:spacing w:after="3" w:line="240" w:lineRule="auto"/>
        <w:ind w:left="383" w:right="331" w:firstLine="0"/>
        <w:rPr>
          <w:color w:val="auto"/>
        </w:rPr>
      </w:pPr>
    </w:p>
    <w:p w:rsidR="00711112" w:rsidRPr="00642CAE" w:rsidRDefault="00711112" w:rsidP="009D3B32">
      <w:pPr>
        <w:pStyle w:val="Odstavecseseznamem"/>
        <w:numPr>
          <w:ilvl w:val="0"/>
          <w:numId w:val="17"/>
        </w:numPr>
        <w:spacing w:after="94" w:line="240" w:lineRule="auto"/>
        <w:ind w:right="14"/>
        <w:rPr>
          <w:color w:val="auto"/>
        </w:rPr>
      </w:pPr>
      <w:r w:rsidRPr="00642CAE">
        <w:rPr>
          <w:color w:val="auto"/>
        </w:rPr>
        <w:t>Členství ve svazku je dobrovolné. Členem svazku mohou být pouze obce. Členství ve svazku nikterak neomezuje členy v oprávnění vstupovat do jiných svazků a podílet se na činnosti jiných právnických osob.</w:t>
      </w:r>
    </w:p>
    <w:p w:rsidR="00711112" w:rsidRPr="00642CAE" w:rsidRDefault="00711112" w:rsidP="009D3B32">
      <w:pPr>
        <w:pStyle w:val="Odstavecseseznamem"/>
        <w:numPr>
          <w:ilvl w:val="0"/>
          <w:numId w:val="17"/>
        </w:numPr>
        <w:spacing w:after="94" w:line="240" w:lineRule="auto"/>
        <w:ind w:right="14"/>
        <w:rPr>
          <w:color w:val="auto"/>
        </w:rPr>
      </w:pPr>
      <w:r w:rsidRPr="00642CAE">
        <w:rPr>
          <w:color w:val="auto"/>
        </w:rPr>
        <w:t xml:space="preserve">Členem svazku se může stát obec, která se plně ztotožňuje s cíli a účelem svazku. </w:t>
      </w:r>
      <w:r w:rsidR="00AE0E83" w:rsidRPr="00642CAE">
        <w:rPr>
          <w:color w:val="auto"/>
        </w:rPr>
        <w:t>Do svazku se vstupuje na základě písemné žádosti, ve které je deklarována připravenost vstoupit do svazku, akceptovat a podepsat Smlouvu o vytvoření dobrovolného svazku obcí Horažďovicko, jejíž přílohou a nedílnou součástí jsou tyto Stanovy. Vstoupení do svazku je podmíněno souhlasem zastupitelstva vstupující obce.</w:t>
      </w:r>
    </w:p>
    <w:p w:rsidR="00052A67" w:rsidRPr="00642CAE" w:rsidRDefault="00711112" w:rsidP="009D3B32">
      <w:pPr>
        <w:pStyle w:val="Odstavecseseznamem"/>
        <w:numPr>
          <w:ilvl w:val="0"/>
          <w:numId w:val="17"/>
        </w:numPr>
        <w:spacing w:after="94" w:line="240" w:lineRule="auto"/>
        <w:ind w:right="14"/>
        <w:rPr>
          <w:color w:val="auto"/>
        </w:rPr>
      </w:pPr>
      <w:r w:rsidRPr="00642CAE">
        <w:rPr>
          <w:color w:val="auto"/>
        </w:rPr>
        <w:t>P</w:t>
      </w:r>
      <w:r w:rsidR="00AE0E83" w:rsidRPr="00642CAE">
        <w:rPr>
          <w:color w:val="auto"/>
        </w:rPr>
        <w:t xml:space="preserve">řijetí </w:t>
      </w:r>
      <w:r w:rsidR="000834C0" w:rsidRPr="00642CAE">
        <w:rPr>
          <w:color w:val="auto"/>
        </w:rPr>
        <w:t xml:space="preserve">a stanovení podmínek přijetí nového člena </w:t>
      </w:r>
      <w:r w:rsidR="00052A67" w:rsidRPr="00642CAE">
        <w:rPr>
          <w:color w:val="auto"/>
        </w:rPr>
        <w:t>do svazku rozhoduje</w:t>
      </w:r>
      <w:r w:rsidR="000834C0" w:rsidRPr="00642CAE">
        <w:rPr>
          <w:color w:val="auto"/>
        </w:rPr>
        <w:t xml:space="preserve"> Valná hromada</w:t>
      </w:r>
      <w:r w:rsidR="00AE0E83" w:rsidRPr="00642CAE">
        <w:rPr>
          <w:color w:val="auto"/>
        </w:rPr>
        <w:t xml:space="preserve">. </w:t>
      </w:r>
    </w:p>
    <w:p w:rsidR="00DD4590" w:rsidRPr="00642CAE" w:rsidRDefault="00DD4590" w:rsidP="009D3B32">
      <w:pPr>
        <w:pStyle w:val="Odstavecseseznamem"/>
        <w:spacing w:after="94" w:line="240" w:lineRule="auto"/>
        <w:ind w:left="1117" w:right="14" w:firstLine="0"/>
        <w:rPr>
          <w:color w:val="auto"/>
        </w:rPr>
      </w:pPr>
    </w:p>
    <w:p w:rsidR="00F55EB6" w:rsidRPr="00642CAE" w:rsidRDefault="00AE0E83" w:rsidP="009D3B32">
      <w:pPr>
        <w:pStyle w:val="Odstavecseseznamem"/>
        <w:numPr>
          <w:ilvl w:val="0"/>
          <w:numId w:val="20"/>
        </w:numPr>
        <w:spacing w:after="3" w:line="240" w:lineRule="auto"/>
        <w:ind w:right="331"/>
        <w:rPr>
          <w:color w:val="auto"/>
          <w:sz w:val="26"/>
        </w:rPr>
      </w:pPr>
      <w:r w:rsidRPr="00642CAE">
        <w:rPr>
          <w:color w:val="auto"/>
          <w:sz w:val="26"/>
        </w:rPr>
        <w:t>Zánik členství</w:t>
      </w:r>
    </w:p>
    <w:p w:rsidR="00F55EB6" w:rsidRPr="00642CAE" w:rsidRDefault="00AE0E83" w:rsidP="009D3B32">
      <w:pPr>
        <w:pStyle w:val="Odstavecseseznamem"/>
        <w:numPr>
          <w:ilvl w:val="0"/>
          <w:numId w:val="18"/>
        </w:numPr>
        <w:spacing w:after="93" w:line="240" w:lineRule="auto"/>
        <w:ind w:right="365"/>
        <w:rPr>
          <w:color w:val="auto"/>
        </w:rPr>
      </w:pPr>
      <w:r w:rsidRPr="00642CAE">
        <w:rPr>
          <w:color w:val="auto"/>
        </w:rPr>
        <w:t>Členství zaniká vystoupením na základě písemného oznámení člena, vyloučením členské obce pro neplnění povinností nebo pro jednání, které je v hrubém rozporu s cíli svazku, nebo zánikem člena.</w:t>
      </w:r>
      <w:r w:rsidR="00B54BD6" w:rsidRPr="00642CAE">
        <w:rPr>
          <w:color w:val="auto"/>
        </w:rPr>
        <w:t xml:space="preserve"> Písemná výpověď musí obsahovat usnesení zastupitelstva obce o vyslovení souhlasu s ukončením členství obce ve svazku.</w:t>
      </w:r>
      <w:r w:rsidR="00552C6B" w:rsidRPr="00642CAE">
        <w:rPr>
          <w:color w:val="auto"/>
        </w:rPr>
        <w:t xml:space="preserve"> O </w:t>
      </w:r>
      <w:r w:rsidR="00552C6B" w:rsidRPr="00642CAE">
        <w:rPr>
          <w:color w:val="auto"/>
        </w:rPr>
        <w:lastRenderedPageBreak/>
        <w:t xml:space="preserve">vyloučení člena ze svazku rozhoduje </w:t>
      </w:r>
      <w:r w:rsidR="00D0733C" w:rsidRPr="00642CAE">
        <w:rPr>
          <w:color w:val="auto"/>
        </w:rPr>
        <w:t>valná hromada</w:t>
      </w:r>
      <w:r w:rsidR="00552C6B" w:rsidRPr="00642CAE">
        <w:rPr>
          <w:color w:val="auto"/>
        </w:rPr>
        <w:t xml:space="preserve">. Rozhodnutí o vyloučení člena svazku doručí předseda svazku vyloučenému členu písemným oznámením.  </w:t>
      </w:r>
    </w:p>
    <w:p w:rsidR="004E1129" w:rsidRPr="00642CAE" w:rsidRDefault="00AE0E83" w:rsidP="009D3B32">
      <w:pPr>
        <w:pStyle w:val="Odstavecseseznamem"/>
        <w:numPr>
          <w:ilvl w:val="0"/>
          <w:numId w:val="18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Při zániku členství nevzniká členské obci právní nárok na vrácení vložených finančních prostředků ani na vyplacení podílu na majetku svazku. Valná Hromada však může v zájmu spravedlivého vypořádání rozhodnout jinak.</w:t>
      </w:r>
      <w:r w:rsidR="004E1129" w:rsidRPr="00642CAE">
        <w:rPr>
          <w:color w:val="auto"/>
        </w:rPr>
        <w:t xml:space="preserve"> </w:t>
      </w:r>
    </w:p>
    <w:p w:rsidR="00F55EB6" w:rsidRPr="00642CAE" w:rsidRDefault="004E1129" w:rsidP="009D3B32">
      <w:pPr>
        <w:pStyle w:val="Odstavecseseznamem"/>
        <w:numPr>
          <w:ilvl w:val="0"/>
          <w:numId w:val="18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Člen svazku, jehož členství zaniklo, není zbaven povinnosti zaplatit v plné výši pravidelný roční členský příspěvek za rok, v němž jeho členství ve svazku zaniklo.</w:t>
      </w:r>
    </w:p>
    <w:p w:rsidR="00347F7C" w:rsidRPr="00642CAE" w:rsidRDefault="00347F7C" w:rsidP="009D3B32">
      <w:pPr>
        <w:pStyle w:val="Odstavecseseznamem"/>
        <w:numPr>
          <w:ilvl w:val="0"/>
          <w:numId w:val="18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V důsledku přijetí nového člena svazku nebo zániku členství stávajícího člena zpracuje předseda svazku nový úplný Seznam členů svazku a nejpozději ve lhůtě 15 dnů ode dne, kdy došlo ke změně počtu členů, jej v elektronické podobě rozešle všem členům svazku</w:t>
      </w:r>
    </w:p>
    <w:p w:rsidR="00F55EB6" w:rsidRPr="00642CAE" w:rsidRDefault="00AE0E83" w:rsidP="009D3B32">
      <w:pPr>
        <w:pStyle w:val="Odstavecseseznamem"/>
        <w:numPr>
          <w:ilvl w:val="0"/>
          <w:numId w:val="20"/>
        </w:numPr>
        <w:spacing w:after="3" w:line="240" w:lineRule="auto"/>
        <w:ind w:right="331"/>
        <w:rPr>
          <w:color w:val="auto"/>
          <w:sz w:val="26"/>
        </w:rPr>
      </w:pPr>
      <w:r w:rsidRPr="00642CAE">
        <w:rPr>
          <w:color w:val="auto"/>
          <w:sz w:val="26"/>
        </w:rPr>
        <w:t>Zrušení svazku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 xml:space="preserve">Svazek se zrušuje rozhodnutím </w:t>
      </w:r>
      <w:r w:rsidR="000E099E" w:rsidRPr="00642CAE">
        <w:rPr>
          <w:color w:val="auto"/>
        </w:rPr>
        <w:t>valná hromada</w:t>
      </w:r>
      <w:r w:rsidRPr="00642CAE">
        <w:rPr>
          <w:color w:val="auto"/>
        </w:rPr>
        <w:t>, a to dnem uvedeným v rozhodnutí nebo dnem, kdy bylo toto rozhodnutí přijato.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Předseda je povinen oznámit zrušení svazku do 15 dnů od rozhodnutí příslušnému krajskému úřadu.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Po zrušení svazku se vyžaduje jeho likvidace, ledaže celé jmění svazku nabývá právní nástupce.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 xml:space="preserve">Při zrušení svazku s likvidací povolá </w:t>
      </w:r>
      <w:r w:rsidR="000E099E" w:rsidRPr="00642CAE">
        <w:rPr>
          <w:color w:val="auto"/>
        </w:rPr>
        <w:t>valná hromada</w:t>
      </w:r>
      <w:r w:rsidRPr="00642CAE">
        <w:rPr>
          <w:color w:val="auto"/>
        </w:rPr>
        <w:t xml:space="preserve"> likvidátora. Odměnu likvidátora a způsob její výplaty určuje </w:t>
      </w:r>
      <w:r w:rsidR="000E099E" w:rsidRPr="00642CAE">
        <w:rPr>
          <w:color w:val="auto"/>
        </w:rPr>
        <w:t>valná hromada</w:t>
      </w:r>
      <w:r w:rsidRPr="00642CAE">
        <w:rPr>
          <w:color w:val="auto"/>
        </w:rPr>
        <w:t>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Případný likvidační zůstatek bude po vypořádání všech závazků svazku převeden na členy svazku poměrně dle počtu obyvatel.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Svazek zaniká dnem výmazu z rejstříku svazku obcí.</w:t>
      </w:r>
    </w:p>
    <w:p w:rsidR="00EC25D2" w:rsidRPr="00642CAE" w:rsidRDefault="00EC25D2" w:rsidP="009D3B32">
      <w:pPr>
        <w:pStyle w:val="Odstavecseseznamem"/>
        <w:numPr>
          <w:ilvl w:val="0"/>
          <w:numId w:val="19"/>
        </w:numPr>
        <w:spacing w:after="204" w:line="240" w:lineRule="auto"/>
        <w:ind w:right="360"/>
        <w:rPr>
          <w:color w:val="auto"/>
        </w:rPr>
      </w:pPr>
      <w:r w:rsidRPr="00642CAE">
        <w:rPr>
          <w:color w:val="auto"/>
        </w:rPr>
        <w:t>Pravidla dle tohoto článku stanov se přiměřeně uplatní při splynutí, sloučení nebo rozdělení svazku.</w:t>
      </w:r>
    </w:p>
    <w:p w:rsidR="009113D0" w:rsidRPr="00642CAE" w:rsidRDefault="009113D0" w:rsidP="009D3B32">
      <w:pPr>
        <w:pStyle w:val="Nadpis4"/>
        <w:spacing w:after="136" w:line="240" w:lineRule="auto"/>
        <w:ind w:left="245" w:right="0"/>
        <w:contextualSpacing/>
        <w:rPr>
          <w:b/>
          <w:color w:val="auto"/>
          <w:sz w:val="28"/>
        </w:rPr>
      </w:pPr>
      <w:r w:rsidRPr="00642CAE">
        <w:rPr>
          <w:b/>
          <w:color w:val="auto"/>
          <w:sz w:val="28"/>
        </w:rPr>
        <w:t>X</w:t>
      </w:r>
      <w:r w:rsidRPr="00642CAE">
        <w:rPr>
          <w:b/>
          <w:color w:val="auto"/>
          <w:sz w:val="28"/>
        </w:rPr>
        <w:tab/>
        <w:t>Závěrečná ustanovení</w:t>
      </w:r>
    </w:p>
    <w:p w:rsidR="00DD622B" w:rsidRPr="00642CAE" w:rsidRDefault="009113D0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 xml:space="preserve">Ve všech případech, kde se v těchto stanovách hovoří o „obyvatelích v zájmovém území", je pro určení jejich počtu rozhodný počet obyvatel přihlášených ve všech členských obcích k trvalému pobytu k 1. lednu předmětného roku, tj. roku, v němž je rozhodováno. Hovoří-li se ve stanovách o "počtu obyvatel”, rozumí se tím údaj o celkovém počtu obyvatel. V obou případech budou tyto údaje přebírány z databáze Ministerstva vnitra k 1. lednu příslušného roku. </w:t>
      </w:r>
    </w:p>
    <w:p w:rsidR="00DD622B" w:rsidRPr="00642CAE" w:rsidRDefault="009113D0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V záležitostech neřešených těmito stanovami se podpůrně užijí obecná ustanovení o právnických osobách obsažená v zákoně č. 89/2012 Sb., občanský zákoník.</w:t>
      </w:r>
    </w:p>
    <w:p w:rsidR="00DD622B" w:rsidRPr="00642CAE" w:rsidRDefault="009113D0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 xml:space="preserve">Znění těchto stanov bylo schváleno na </w:t>
      </w:r>
      <w:r w:rsidR="000E099E" w:rsidRPr="00642CAE">
        <w:rPr>
          <w:color w:val="auto"/>
        </w:rPr>
        <w:t>valná hromada</w:t>
      </w:r>
      <w:r w:rsidR="000033B5">
        <w:rPr>
          <w:color w:val="auto"/>
        </w:rPr>
        <w:t xml:space="preserve"> konaném dne 5.9</w:t>
      </w:r>
      <w:r w:rsidR="00DD622B" w:rsidRPr="00642CAE">
        <w:rPr>
          <w:color w:val="auto"/>
        </w:rPr>
        <w:t>.</w:t>
      </w:r>
      <w:r w:rsidR="007B7850" w:rsidRPr="00642CAE">
        <w:rPr>
          <w:color w:val="auto"/>
        </w:rPr>
        <w:t>2017</w:t>
      </w:r>
      <w:r w:rsidRPr="00642CAE">
        <w:rPr>
          <w:color w:val="auto"/>
        </w:rPr>
        <w:t>, jehož konání je pot</w:t>
      </w:r>
      <w:r w:rsidR="000033B5">
        <w:rPr>
          <w:color w:val="auto"/>
        </w:rPr>
        <w:t>vrzeno zápisem ze dne 8.9</w:t>
      </w:r>
      <w:bookmarkStart w:id="1" w:name="_GoBack"/>
      <w:bookmarkEnd w:id="1"/>
      <w:r w:rsidRPr="00642CAE">
        <w:rPr>
          <w:color w:val="auto"/>
        </w:rPr>
        <w:t>.</w:t>
      </w:r>
      <w:r w:rsidR="000B0D9E" w:rsidRPr="00642CAE">
        <w:rPr>
          <w:color w:val="auto"/>
        </w:rPr>
        <w:t>2017</w:t>
      </w:r>
      <w:r w:rsidR="008B00DE" w:rsidRPr="00642CAE">
        <w:rPr>
          <w:color w:val="auto"/>
        </w:rPr>
        <w:t xml:space="preserve"> </w:t>
      </w:r>
    </w:p>
    <w:p w:rsidR="00DD622B" w:rsidRPr="00642CAE" w:rsidRDefault="008B00DE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Vnitřní organizace svazku, práva a povinnosti členů i volených orgánů svazku se řídí především těmito stanovami, které jsou uloženy ve svém úplném znění v sídle svazku a jsou také zveřejněny na jeho internetových stránkách.</w:t>
      </w:r>
    </w:p>
    <w:p w:rsidR="00DD622B" w:rsidRPr="00642CAE" w:rsidRDefault="008B00DE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 xml:space="preserve">O změně stanov rozhoduje </w:t>
      </w:r>
      <w:r w:rsidR="000E099E" w:rsidRPr="00642CAE">
        <w:rPr>
          <w:color w:val="auto"/>
        </w:rPr>
        <w:t>valná hromada</w:t>
      </w:r>
      <w:r w:rsidRPr="00642CAE">
        <w:rPr>
          <w:color w:val="auto"/>
        </w:rPr>
        <w:t xml:space="preserve"> usnesením.</w:t>
      </w:r>
    </w:p>
    <w:p w:rsidR="00DD622B" w:rsidRPr="00642CAE" w:rsidRDefault="008B00DE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Změny nebo doplnění stanov vyžadují písemnou formu. Dodatky ke stanovám se pořadově číslují a tvoří nedílnou součást stanov. Za evidenci a jejich rozeslání členským obcím je odpovědný předseda svazku.</w:t>
      </w:r>
    </w:p>
    <w:p w:rsidR="008B00DE" w:rsidRPr="00642CAE" w:rsidRDefault="008B00DE" w:rsidP="009D3B32">
      <w:pPr>
        <w:numPr>
          <w:ilvl w:val="0"/>
          <w:numId w:val="24"/>
        </w:numPr>
        <w:spacing w:after="155" w:line="240" w:lineRule="auto"/>
        <w:ind w:right="14"/>
        <w:contextualSpacing/>
        <w:rPr>
          <w:color w:val="auto"/>
        </w:rPr>
      </w:pPr>
      <w:r w:rsidRPr="00642CAE">
        <w:rPr>
          <w:color w:val="auto"/>
        </w:rPr>
        <w:t>Pokud dojde k jakékoliv změně stanov, je předseda povinen oznámit tuto skutečnost nejpozději do 15 dnů od schválení daného usnesení všem členům svazku a příslušnému krajskému úřadu.</w:t>
      </w:r>
    </w:p>
    <w:p w:rsidR="008B00DE" w:rsidRPr="00642CAE" w:rsidRDefault="008B00DE" w:rsidP="009D3B32">
      <w:pPr>
        <w:pStyle w:val="Odstavecseseznamem"/>
        <w:spacing w:after="204" w:line="240" w:lineRule="auto"/>
        <w:ind w:left="1117" w:right="360" w:firstLine="0"/>
        <w:rPr>
          <w:color w:val="auto"/>
        </w:rPr>
      </w:pPr>
    </w:p>
    <w:p w:rsidR="00E474A1" w:rsidRDefault="00AE0E83" w:rsidP="009D3B32">
      <w:pPr>
        <w:spacing w:after="807" w:line="240" w:lineRule="auto"/>
        <w:ind w:left="393" w:right="14"/>
        <w:contextualSpacing/>
        <w:rPr>
          <w:color w:val="auto"/>
        </w:rPr>
      </w:pPr>
      <w:r w:rsidRPr="00642CAE">
        <w:rPr>
          <w:color w:val="auto"/>
        </w:rPr>
        <w:t>Schváleno Valnou hromadou</w:t>
      </w:r>
      <w:r w:rsidR="00C46B88" w:rsidRPr="00642CAE">
        <w:rPr>
          <w:color w:val="auto"/>
        </w:rPr>
        <w:t xml:space="preserve"> v</w:t>
      </w:r>
      <w:r w:rsidR="000033B5">
        <w:rPr>
          <w:color w:val="auto"/>
        </w:rPr>
        <w:t> Horažďovicích 5.</w:t>
      </w:r>
      <w:r w:rsidR="00C11107">
        <w:rPr>
          <w:color w:val="auto"/>
        </w:rPr>
        <w:t>9</w:t>
      </w:r>
      <w:r w:rsidR="00D7650A" w:rsidRPr="00642CAE">
        <w:rPr>
          <w:color w:val="auto"/>
        </w:rPr>
        <w:t>.2017</w:t>
      </w:r>
    </w:p>
    <w:p w:rsidR="00C11107" w:rsidRPr="00642CAE" w:rsidRDefault="00C11107" w:rsidP="009D3B32">
      <w:pPr>
        <w:spacing w:after="807" w:line="240" w:lineRule="auto"/>
        <w:ind w:left="393" w:right="14"/>
        <w:contextualSpacing/>
        <w:rPr>
          <w:color w:val="auto"/>
        </w:rPr>
      </w:pPr>
    </w:p>
    <w:p w:rsidR="00F55EB6" w:rsidRPr="00642CAE" w:rsidRDefault="00C46B88" w:rsidP="009D3B32">
      <w:pPr>
        <w:spacing w:after="807" w:line="240" w:lineRule="auto"/>
        <w:ind w:left="393" w:right="14"/>
        <w:contextualSpacing/>
        <w:rPr>
          <w:color w:val="auto"/>
        </w:rPr>
      </w:pPr>
      <w:r w:rsidRPr="00642CAE">
        <w:rPr>
          <w:color w:val="auto"/>
        </w:rPr>
        <w:t>Ing. Václav Vachuška</w:t>
      </w:r>
      <w:r w:rsidRPr="00642CAE">
        <w:rPr>
          <w:color w:val="auto"/>
        </w:rPr>
        <w:tab/>
      </w:r>
      <w:r w:rsidRPr="00642CAE">
        <w:rPr>
          <w:color w:val="auto"/>
        </w:rPr>
        <w:tab/>
      </w:r>
      <w:r w:rsidRPr="00642CAE">
        <w:rPr>
          <w:color w:val="auto"/>
        </w:rPr>
        <w:tab/>
      </w:r>
      <w:r w:rsidRPr="00642CAE">
        <w:rPr>
          <w:color w:val="auto"/>
        </w:rPr>
        <w:tab/>
        <w:t>Mgr. Marie Metličková</w:t>
      </w:r>
    </w:p>
    <w:sectPr w:rsidR="00F55EB6" w:rsidRPr="00642CAE" w:rsidSect="00723639">
      <w:footerReference w:type="even" r:id="rId8"/>
      <w:footerReference w:type="default" r:id="rId9"/>
      <w:footerReference w:type="first" r:id="rId10"/>
      <w:pgSz w:w="11906" w:h="16838" w:code="9"/>
      <w:pgMar w:top="1418" w:right="1051" w:bottom="149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7B" w:rsidRDefault="0021087B" w:rsidP="00C30FEC">
      <w:pPr>
        <w:spacing w:after="0" w:line="240" w:lineRule="auto"/>
      </w:pPr>
      <w:r>
        <w:separator/>
      </w:r>
    </w:p>
  </w:endnote>
  <w:endnote w:type="continuationSeparator" w:id="0">
    <w:p w:rsidR="0021087B" w:rsidRDefault="0021087B" w:rsidP="00C3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B7" w:rsidRDefault="00AE0E83">
    <w:pPr>
      <w:spacing w:after="0"/>
      <w:ind w:left="1786" w:right="1738"/>
      <w:jc w:val="center"/>
    </w:pPr>
    <w:r>
      <w:rPr>
        <w:sz w:val="18"/>
      </w:rPr>
      <w:t xml:space="preserve">Mikroregion </w:t>
    </w:r>
    <w:proofErr w:type="spellStart"/>
    <w:r>
      <w:rPr>
        <w:sz w:val="18"/>
      </w:rPr>
      <w:t>Hořovicko</w:t>
    </w:r>
    <w:proofErr w:type="spellEnd"/>
    <w:r>
      <w:rPr>
        <w:sz w:val="18"/>
      </w:rPr>
      <w:t xml:space="preserve">, Palackého náměstí </w:t>
    </w:r>
    <w:r>
      <w:rPr>
        <w:sz w:val="20"/>
      </w:rPr>
      <w:t xml:space="preserve">1, </w:t>
    </w:r>
    <w:r>
      <w:rPr>
        <w:sz w:val="18"/>
      </w:rPr>
      <w:t xml:space="preserve">268 </w:t>
    </w:r>
    <w:r>
      <w:t xml:space="preserve">Ol </w:t>
    </w:r>
    <w:r>
      <w:rPr>
        <w:sz w:val="18"/>
      </w:rPr>
      <w:t xml:space="preserve">Hořovice, </w:t>
    </w:r>
    <w:r>
      <w:rPr>
        <w:sz w:val="20"/>
      </w:rPr>
      <w:t xml:space="preserve">IČ: </w:t>
    </w:r>
    <w:r>
      <w:rPr>
        <w:sz w:val="18"/>
      </w:rPr>
      <w:t xml:space="preserve">71246061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B7" w:rsidRDefault="00AE0E83">
    <w:pPr>
      <w:spacing w:after="0"/>
      <w:ind w:left="1786" w:right="173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3B5" w:rsidRPr="000033B5">
      <w:rPr>
        <w:noProof/>
        <w:sz w:val="30"/>
      </w:rPr>
      <w:t>9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B7" w:rsidRDefault="00AE0E83">
    <w:pPr>
      <w:spacing w:after="0"/>
      <w:ind w:left="1786" w:right="1738"/>
      <w:jc w:val="center"/>
    </w:pPr>
    <w:r>
      <w:rPr>
        <w:sz w:val="18"/>
      </w:rPr>
      <w:t xml:space="preserve">Mikroregion </w:t>
    </w:r>
    <w:proofErr w:type="spellStart"/>
    <w:r>
      <w:rPr>
        <w:sz w:val="18"/>
      </w:rPr>
      <w:t>Hořovicko</w:t>
    </w:r>
    <w:proofErr w:type="spellEnd"/>
    <w:r>
      <w:rPr>
        <w:sz w:val="18"/>
      </w:rPr>
      <w:t xml:space="preserve">, Palackého náměstí </w:t>
    </w:r>
    <w:r>
      <w:rPr>
        <w:sz w:val="20"/>
      </w:rPr>
      <w:t xml:space="preserve">1, </w:t>
    </w:r>
    <w:r>
      <w:rPr>
        <w:sz w:val="18"/>
      </w:rPr>
      <w:t xml:space="preserve">268 </w:t>
    </w:r>
    <w:r>
      <w:t xml:space="preserve">Ol </w:t>
    </w:r>
    <w:r>
      <w:rPr>
        <w:sz w:val="18"/>
      </w:rPr>
      <w:t xml:space="preserve">Hořovice, </w:t>
    </w:r>
    <w:r>
      <w:rPr>
        <w:sz w:val="20"/>
      </w:rPr>
      <w:t xml:space="preserve">IČ: </w:t>
    </w:r>
    <w:r>
      <w:rPr>
        <w:sz w:val="18"/>
      </w:rPr>
      <w:t xml:space="preserve">71246061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7B" w:rsidRDefault="0021087B" w:rsidP="00C30FEC">
      <w:pPr>
        <w:spacing w:after="0" w:line="240" w:lineRule="auto"/>
      </w:pPr>
      <w:r>
        <w:separator/>
      </w:r>
    </w:p>
  </w:footnote>
  <w:footnote w:type="continuationSeparator" w:id="0">
    <w:p w:rsidR="0021087B" w:rsidRDefault="0021087B" w:rsidP="00C3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5.4pt;height:5.4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abstractNum w:abstractNumId="0" w15:restartNumberingAfterBreak="0">
    <w:nsid w:val="04B964A6"/>
    <w:multiLevelType w:val="hybridMultilevel"/>
    <w:tmpl w:val="15F0FFE6"/>
    <w:lvl w:ilvl="0" w:tplc="0405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69E7BBD"/>
    <w:multiLevelType w:val="hybridMultilevel"/>
    <w:tmpl w:val="85F6D8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D5"/>
    <w:multiLevelType w:val="hybridMultilevel"/>
    <w:tmpl w:val="C1543140"/>
    <w:lvl w:ilvl="0" w:tplc="04050019">
      <w:start w:val="1"/>
      <w:numFmt w:val="lowerLetter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61C6BF7"/>
    <w:multiLevelType w:val="hybridMultilevel"/>
    <w:tmpl w:val="458A4DE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D4E"/>
    <w:multiLevelType w:val="hybridMultilevel"/>
    <w:tmpl w:val="EF785EEC"/>
    <w:lvl w:ilvl="0" w:tplc="04050019">
      <w:start w:val="1"/>
      <w:numFmt w:val="lowerLetter"/>
      <w:lvlText w:val="%1."/>
      <w:lvlJc w:val="left"/>
      <w:pPr>
        <w:ind w:left="1117" w:hanging="360"/>
      </w:pPr>
    </w:lvl>
    <w:lvl w:ilvl="1" w:tplc="4A4EEBC2">
      <w:numFmt w:val="bullet"/>
      <w:lvlText w:val=""/>
      <w:lvlJc w:val="left"/>
      <w:pPr>
        <w:ind w:left="1837" w:hanging="360"/>
      </w:pPr>
      <w:rPr>
        <w:rFonts w:ascii="Symbol" w:eastAsia="Calibri" w:hAnsi="Symbol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DDD661F"/>
    <w:multiLevelType w:val="hybridMultilevel"/>
    <w:tmpl w:val="79DC63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95F8B118">
      <w:start w:val="8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6801564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46A"/>
    <w:multiLevelType w:val="hybridMultilevel"/>
    <w:tmpl w:val="E7BA544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B0C34"/>
    <w:multiLevelType w:val="hybridMultilevel"/>
    <w:tmpl w:val="C78E5108"/>
    <w:lvl w:ilvl="0" w:tplc="0405000F">
      <w:start w:val="1"/>
      <w:numFmt w:val="decimal"/>
      <w:lvlText w:val="%1."/>
      <w:lvlJc w:val="left"/>
      <w:pPr>
        <w:ind w:left="396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C2FE2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A62EE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5097A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A07E8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9E263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8CD76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0C33B0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C0216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A03588"/>
    <w:multiLevelType w:val="hybridMultilevel"/>
    <w:tmpl w:val="E3B2E3D6"/>
    <w:lvl w:ilvl="0" w:tplc="0405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24FD2">
      <w:start w:val="1"/>
      <w:numFmt w:val="bullet"/>
      <w:lvlText w:val="•"/>
      <w:lvlPicBulletId w:val="0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2E4CE4">
      <w:start w:val="1"/>
      <w:numFmt w:val="bullet"/>
      <w:lvlText w:val="▪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147340">
      <w:start w:val="1"/>
      <w:numFmt w:val="bullet"/>
      <w:lvlText w:val="•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4286BC">
      <w:start w:val="1"/>
      <w:numFmt w:val="bullet"/>
      <w:lvlText w:val="o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D8FCFC">
      <w:start w:val="1"/>
      <w:numFmt w:val="bullet"/>
      <w:lvlText w:val="▪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228AC2">
      <w:start w:val="1"/>
      <w:numFmt w:val="bullet"/>
      <w:lvlText w:val="•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966B86">
      <w:start w:val="1"/>
      <w:numFmt w:val="bullet"/>
      <w:lvlText w:val="o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6EDA9C">
      <w:start w:val="1"/>
      <w:numFmt w:val="bullet"/>
      <w:lvlText w:val="▪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7159AD"/>
    <w:multiLevelType w:val="hybridMultilevel"/>
    <w:tmpl w:val="33629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5CA"/>
    <w:multiLevelType w:val="hybridMultilevel"/>
    <w:tmpl w:val="9618A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C73"/>
    <w:multiLevelType w:val="hybridMultilevel"/>
    <w:tmpl w:val="756055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D0B00"/>
    <w:multiLevelType w:val="hybridMultilevel"/>
    <w:tmpl w:val="4C54A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EFFE7496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24BE"/>
    <w:multiLevelType w:val="hybridMultilevel"/>
    <w:tmpl w:val="6F021B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43607"/>
    <w:multiLevelType w:val="hybridMultilevel"/>
    <w:tmpl w:val="C5783BBC"/>
    <w:lvl w:ilvl="0" w:tplc="04050019">
      <w:start w:val="1"/>
      <w:numFmt w:val="lowerLetter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53A1078E"/>
    <w:multiLevelType w:val="hybridMultilevel"/>
    <w:tmpl w:val="BBEA8A0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1620752">
      <w:start w:val="1"/>
      <w:numFmt w:val="decimal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 w:tplc="D02267DC">
      <w:start w:val="9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B05779"/>
    <w:multiLevelType w:val="hybridMultilevel"/>
    <w:tmpl w:val="19DEB85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CC70EFB"/>
    <w:multiLevelType w:val="hybridMultilevel"/>
    <w:tmpl w:val="AAD67EAC"/>
    <w:lvl w:ilvl="0" w:tplc="060C3EC0">
      <w:start w:val="1"/>
      <w:numFmt w:val="decimal"/>
      <w:lvlText w:val="%1)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24FD2">
      <w:start w:val="1"/>
      <w:numFmt w:val="bullet"/>
      <w:lvlText w:val="•"/>
      <w:lvlPicBulletId w:val="0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2E4CE4">
      <w:start w:val="1"/>
      <w:numFmt w:val="bullet"/>
      <w:lvlText w:val="▪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147340">
      <w:start w:val="1"/>
      <w:numFmt w:val="bullet"/>
      <w:lvlText w:val="•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4286BC">
      <w:start w:val="1"/>
      <w:numFmt w:val="bullet"/>
      <w:lvlText w:val="o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D8FCFC">
      <w:start w:val="1"/>
      <w:numFmt w:val="bullet"/>
      <w:lvlText w:val="▪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228AC2">
      <w:start w:val="1"/>
      <w:numFmt w:val="bullet"/>
      <w:lvlText w:val="•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966B86">
      <w:start w:val="1"/>
      <w:numFmt w:val="bullet"/>
      <w:lvlText w:val="o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6EDA9C">
      <w:start w:val="1"/>
      <w:numFmt w:val="bullet"/>
      <w:lvlText w:val="▪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FE5726"/>
    <w:multiLevelType w:val="hybridMultilevel"/>
    <w:tmpl w:val="3F32CC62"/>
    <w:lvl w:ilvl="0" w:tplc="0405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FE060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4B12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CCFF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D47B5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BEA13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4AC3C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703EE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7C8E0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546939"/>
    <w:multiLevelType w:val="hybridMultilevel"/>
    <w:tmpl w:val="DB68CD44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69860A39"/>
    <w:multiLevelType w:val="hybridMultilevel"/>
    <w:tmpl w:val="DF543BF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20007"/>
    <w:multiLevelType w:val="hybridMultilevel"/>
    <w:tmpl w:val="03288780"/>
    <w:lvl w:ilvl="0" w:tplc="1B5A9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7F386E"/>
    <w:multiLevelType w:val="hybridMultilevel"/>
    <w:tmpl w:val="4B8E1D04"/>
    <w:lvl w:ilvl="0" w:tplc="0405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FE060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4B12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CCFF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D47B5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BEA13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4AC3C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703EE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7C8E0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8500A6"/>
    <w:multiLevelType w:val="hybridMultilevel"/>
    <w:tmpl w:val="0DA26B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6"/>
  </w:num>
  <w:num w:numId="5">
    <w:abstractNumId w:val="19"/>
  </w:num>
  <w:num w:numId="6">
    <w:abstractNumId w:val="9"/>
  </w:num>
  <w:num w:numId="7">
    <w:abstractNumId w:val="13"/>
  </w:num>
  <w:num w:numId="8">
    <w:abstractNumId w:val="5"/>
  </w:num>
  <w:num w:numId="9">
    <w:abstractNumId w:val="21"/>
  </w:num>
  <w:num w:numId="10">
    <w:abstractNumId w:val="6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15"/>
  </w:num>
  <w:num w:numId="16">
    <w:abstractNumId w:val="3"/>
  </w:num>
  <w:num w:numId="17">
    <w:abstractNumId w:val="4"/>
  </w:num>
  <w:num w:numId="18">
    <w:abstractNumId w:val="14"/>
  </w:num>
  <w:num w:numId="19">
    <w:abstractNumId w:val="2"/>
  </w:num>
  <w:num w:numId="20">
    <w:abstractNumId w:val="0"/>
  </w:num>
  <w:num w:numId="21">
    <w:abstractNumId w:val="18"/>
  </w:num>
  <w:num w:numId="22">
    <w:abstractNumId w:val="7"/>
  </w:num>
  <w:num w:numId="23">
    <w:abstractNumId w:val="8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B6"/>
    <w:rsid w:val="000033B5"/>
    <w:rsid w:val="00030320"/>
    <w:rsid w:val="000358C1"/>
    <w:rsid w:val="00052A67"/>
    <w:rsid w:val="00054246"/>
    <w:rsid w:val="000834C0"/>
    <w:rsid w:val="000B0D9E"/>
    <w:rsid w:val="000C1D0C"/>
    <w:rsid w:val="000D1DDF"/>
    <w:rsid w:val="000E099E"/>
    <w:rsid w:val="00140FF0"/>
    <w:rsid w:val="001928C5"/>
    <w:rsid w:val="00195EE9"/>
    <w:rsid w:val="001B2815"/>
    <w:rsid w:val="001C17DD"/>
    <w:rsid w:val="0021087B"/>
    <w:rsid w:val="00261618"/>
    <w:rsid w:val="00281866"/>
    <w:rsid w:val="002979BD"/>
    <w:rsid w:val="002A404D"/>
    <w:rsid w:val="002A7D97"/>
    <w:rsid w:val="002E511D"/>
    <w:rsid w:val="002E6EF7"/>
    <w:rsid w:val="002F2A58"/>
    <w:rsid w:val="00302523"/>
    <w:rsid w:val="00305F6E"/>
    <w:rsid w:val="00315D76"/>
    <w:rsid w:val="00316859"/>
    <w:rsid w:val="003235DC"/>
    <w:rsid w:val="00347F7C"/>
    <w:rsid w:val="00365E04"/>
    <w:rsid w:val="003B0873"/>
    <w:rsid w:val="003C046B"/>
    <w:rsid w:val="00464462"/>
    <w:rsid w:val="0047116F"/>
    <w:rsid w:val="00495A59"/>
    <w:rsid w:val="004A24AE"/>
    <w:rsid w:val="004E1129"/>
    <w:rsid w:val="004E7B18"/>
    <w:rsid w:val="00510322"/>
    <w:rsid w:val="005136D3"/>
    <w:rsid w:val="0051647E"/>
    <w:rsid w:val="005303F3"/>
    <w:rsid w:val="00533B3B"/>
    <w:rsid w:val="00552C6B"/>
    <w:rsid w:val="005836D0"/>
    <w:rsid w:val="005D6285"/>
    <w:rsid w:val="005E703D"/>
    <w:rsid w:val="005F506E"/>
    <w:rsid w:val="00613A80"/>
    <w:rsid w:val="00626FDD"/>
    <w:rsid w:val="00642CAE"/>
    <w:rsid w:val="00650C63"/>
    <w:rsid w:val="0065608B"/>
    <w:rsid w:val="00663CF0"/>
    <w:rsid w:val="006710FB"/>
    <w:rsid w:val="006B1637"/>
    <w:rsid w:val="00711112"/>
    <w:rsid w:val="00712613"/>
    <w:rsid w:val="00723639"/>
    <w:rsid w:val="007433BD"/>
    <w:rsid w:val="00761DC4"/>
    <w:rsid w:val="0078257E"/>
    <w:rsid w:val="007B7850"/>
    <w:rsid w:val="007C7784"/>
    <w:rsid w:val="007F4A28"/>
    <w:rsid w:val="007F4B96"/>
    <w:rsid w:val="008640E7"/>
    <w:rsid w:val="00873FE0"/>
    <w:rsid w:val="0087634D"/>
    <w:rsid w:val="00882073"/>
    <w:rsid w:val="008959E9"/>
    <w:rsid w:val="008B00DE"/>
    <w:rsid w:val="009113D0"/>
    <w:rsid w:val="009427D3"/>
    <w:rsid w:val="00992CA4"/>
    <w:rsid w:val="009B4F2E"/>
    <w:rsid w:val="009D3B32"/>
    <w:rsid w:val="009F1E57"/>
    <w:rsid w:val="00A509ED"/>
    <w:rsid w:val="00A62EEC"/>
    <w:rsid w:val="00A737F3"/>
    <w:rsid w:val="00A83439"/>
    <w:rsid w:val="00AB08EB"/>
    <w:rsid w:val="00AC0C53"/>
    <w:rsid w:val="00AD20CE"/>
    <w:rsid w:val="00AE0E83"/>
    <w:rsid w:val="00AF5D27"/>
    <w:rsid w:val="00B15422"/>
    <w:rsid w:val="00B22180"/>
    <w:rsid w:val="00B412A7"/>
    <w:rsid w:val="00B4270F"/>
    <w:rsid w:val="00B43DF1"/>
    <w:rsid w:val="00B54BD6"/>
    <w:rsid w:val="00B924FD"/>
    <w:rsid w:val="00B95147"/>
    <w:rsid w:val="00C10DBE"/>
    <w:rsid w:val="00C11107"/>
    <w:rsid w:val="00C224A2"/>
    <w:rsid w:val="00C269C7"/>
    <w:rsid w:val="00C30FEC"/>
    <w:rsid w:val="00C35E36"/>
    <w:rsid w:val="00C419C2"/>
    <w:rsid w:val="00C46B88"/>
    <w:rsid w:val="00C50149"/>
    <w:rsid w:val="00CA59CB"/>
    <w:rsid w:val="00CE581D"/>
    <w:rsid w:val="00D0733C"/>
    <w:rsid w:val="00D1444B"/>
    <w:rsid w:val="00D4128B"/>
    <w:rsid w:val="00D42D67"/>
    <w:rsid w:val="00D44249"/>
    <w:rsid w:val="00D7650A"/>
    <w:rsid w:val="00DA17D3"/>
    <w:rsid w:val="00DD4590"/>
    <w:rsid w:val="00DD622B"/>
    <w:rsid w:val="00DF3180"/>
    <w:rsid w:val="00E2609E"/>
    <w:rsid w:val="00E474A1"/>
    <w:rsid w:val="00EA5354"/>
    <w:rsid w:val="00EB4037"/>
    <w:rsid w:val="00EB5EE5"/>
    <w:rsid w:val="00EB6DB0"/>
    <w:rsid w:val="00EC1C9C"/>
    <w:rsid w:val="00EC25D2"/>
    <w:rsid w:val="00ED03E0"/>
    <w:rsid w:val="00EF62E6"/>
    <w:rsid w:val="00F00E5B"/>
    <w:rsid w:val="00F34A7D"/>
    <w:rsid w:val="00F460A5"/>
    <w:rsid w:val="00F55EB6"/>
    <w:rsid w:val="00F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7257"/>
  <w15:docId w15:val="{E2945700-4034-4379-AF91-2252794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6" w:line="216" w:lineRule="auto"/>
      <w:ind w:left="1513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235"/>
      <w:jc w:val="center"/>
      <w:outlineLvl w:val="0"/>
    </w:pPr>
    <w:rPr>
      <w:rFonts w:ascii="Calibri" w:eastAsia="Calibri" w:hAnsi="Calibri" w:cs="Calibri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6"/>
      <w:ind w:left="178" w:hanging="10"/>
      <w:jc w:val="center"/>
      <w:outlineLvl w:val="1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3"/>
      <w:ind w:left="58" w:hanging="10"/>
      <w:outlineLvl w:val="2"/>
    </w:pPr>
    <w:rPr>
      <w:rFonts w:ascii="Calibri" w:eastAsia="Calibri" w:hAnsi="Calibri" w:cs="Calibri"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145"/>
      <w:ind w:left="10" w:right="10" w:hanging="10"/>
      <w:jc w:val="center"/>
      <w:outlineLvl w:val="3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145"/>
      <w:ind w:left="10" w:right="10" w:hanging="10"/>
      <w:jc w:val="center"/>
      <w:outlineLvl w:val="4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4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5Char">
    <w:name w:val="Nadpis 5 Char"/>
    <w:link w:val="Nadpis5"/>
    <w:rPr>
      <w:rFonts w:ascii="Calibri" w:eastAsia="Calibri" w:hAnsi="Calibri" w:cs="Calibri"/>
      <w:color w:val="000000"/>
      <w:sz w:val="26"/>
      <w:u w:val="single" w:color="000000"/>
    </w:rPr>
  </w:style>
  <w:style w:type="paragraph" w:styleId="Odstavecseseznamem">
    <w:name w:val="List Paragraph"/>
    <w:basedOn w:val="Normln"/>
    <w:uiPriority w:val="34"/>
    <w:qFormat/>
    <w:rsid w:val="003025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0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FE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2918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Václav Vachuška</dc:creator>
  <cp:keywords/>
  <cp:lastModifiedBy>Ing. Václav Vachuška</cp:lastModifiedBy>
  <cp:revision>3</cp:revision>
  <dcterms:created xsi:type="dcterms:W3CDTF">2017-09-08T05:50:00Z</dcterms:created>
  <dcterms:modified xsi:type="dcterms:W3CDTF">2017-09-08T05:58:00Z</dcterms:modified>
</cp:coreProperties>
</file>